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213E" w14:textId="0DBFE9EF" w:rsidR="00DC7021" w:rsidRDefault="000446D4" w:rsidP="000446D4">
      <w:pPr>
        <w:pStyle w:val="Nzev"/>
      </w:pPr>
      <w:r>
        <w:t>Evaluace výukové zátěže</w:t>
      </w:r>
    </w:p>
    <w:p w14:paraId="167E3A50" w14:textId="0DE400EB" w:rsidR="000446D4" w:rsidRDefault="000446D4" w:rsidP="000446D4">
      <w:pPr>
        <w:rPr>
          <w:i/>
          <w:iCs/>
        </w:rPr>
      </w:pPr>
      <w:r>
        <w:rPr>
          <w:i/>
          <w:iCs/>
        </w:rPr>
        <w:t xml:space="preserve">Pro kolegium děkana </w:t>
      </w:r>
      <w:r w:rsidR="006B52CE">
        <w:rPr>
          <w:i/>
          <w:iCs/>
        </w:rPr>
        <w:t>15. 11</w:t>
      </w:r>
      <w:r>
        <w:rPr>
          <w:i/>
          <w:iCs/>
        </w:rPr>
        <w:t>. 2021</w:t>
      </w:r>
    </w:p>
    <w:p w14:paraId="7F30D97B" w14:textId="101438BA" w:rsidR="000446D4" w:rsidRDefault="000446D4" w:rsidP="000446D4"/>
    <w:p w14:paraId="22C86BD0" w14:textId="61D30CED" w:rsidR="000446D4" w:rsidRDefault="000446D4" w:rsidP="000446D4">
      <w:r>
        <w:t>Výuková zátěž se počítá podle časové dotace předmětu v SIS, počtu zkušebních aktů a dalších údajů, které v SIS vykazují garanti předmětů. Odhaduje počet hodin výuky předmětu, přičemž se počítají</w:t>
      </w:r>
    </w:p>
    <w:p w14:paraId="3D6A1F7E" w14:textId="7DD20B1F" w:rsidR="000446D4" w:rsidRDefault="000446D4" w:rsidP="000446D4">
      <w:pPr>
        <w:pStyle w:val="Odstavecseseznamem"/>
        <w:numPr>
          <w:ilvl w:val="0"/>
          <w:numId w:val="2"/>
        </w:numPr>
      </w:pPr>
      <w:r>
        <w:t>hodiny přednášek,</w:t>
      </w:r>
    </w:p>
    <w:p w14:paraId="4DDE19FD" w14:textId="294DA2C2" w:rsidR="000446D4" w:rsidRDefault="000446D4" w:rsidP="000446D4">
      <w:pPr>
        <w:pStyle w:val="Odstavecseseznamem"/>
        <w:numPr>
          <w:ilvl w:val="0"/>
          <w:numId w:val="2"/>
        </w:numPr>
      </w:pPr>
      <w:r>
        <w:t>(hodiny seminářů a praktik) × (počet skupin),</w:t>
      </w:r>
    </w:p>
    <w:p w14:paraId="4C116452" w14:textId="6D9143AF" w:rsidR="000446D4" w:rsidRDefault="000446D4" w:rsidP="000446D4">
      <w:pPr>
        <w:pStyle w:val="Odstavecseseznamem"/>
        <w:numPr>
          <w:ilvl w:val="0"/>
          <w:numId w:val="2"/>
        </w:numPr>
      </w:pPr>
      <w:r>
        <w:t>(délka stáže) × (počet skupin),</w:t>
      </w:r>
    </w:p>
    <w:p w14:paraId="78DE7B0B" w14:textId="777A80DA" w:rsidR="000446D4" w:rsidRDefault="000446D4" w:rsidP="000446D4">
      <w:pPr>
        <w:pStyle w:val="Odstavecseseznamem"/>
        <w:numPr>
          <w:ilvl w:val="0"/>
          <w:numId w:val="2"/>
        </w:numPr>
      </w:pPr>
      <w:r>
        <w:t>(počet zkoušek) × 0,5 hod.,</w:t>
      </w:r>
    </w:p>
    <w:p w14:paraId="31AE23C2" w14:textId="013D7CF9" w:rsidR="000446D4" w:rsidRDefault="000446D4" w:rsidP="000446D4">
      <w:pPr>
        <w:pStyle w:val="Odstavecseseznamem"/>
        <w:numPr>
          <w:ilvl w:val="0"/>
          <w:numId w:val="2"/>
        </w:numPr>
      </w:pPr>
      <w:r>
        <w:t>(počet státních zkoušek) × 1 hod.</w:t>
      </w:r>
    </w:p>
    <w:p w14:paraId="2EF010E9" w14:textId="69009649" w:rsidR="000446D4" w:rsidRDefault="000446D4" w:rsidP="000446D4">
      <w:r>
        <w:t>Pokud se na výuce předmětu podílí více pracovišť, dělí se mezi ně zátěž v poměru, který určil garant.</w:t>
      </w:r>
    </w:p>
    <w:p w14:paraId="569262CF" w14:textId="7850A58B" w:rsidR="000446D4" w:rsidRDefault="000446D4" w:rsidP="000446D4">
      <w:r>
        <w:t>Není-li uvedeno jinak, je zátěž bez volitelných předmětů (VP).</w:t>
      </w:r>
    </w:p>
    <w:p w14:paraId="48EBB092" w14:textId="14E19A3F" w:rsidR="000446D4" w:rsidRDefault="000446D4" w:rsidP="000446D4"/>
    <w:p w14:paraId="2DE7281F" w14:textId="3F9B225D" w:rsidR="000446D4" w:rsidRDefault="000446D4" w:rsidP="000446D4">
      <w:r>
        <w:t xml:space="preserve">Ve srovnání s předchozím rokem nedošlo </w:t>
      </w:r>
      <w:r w:rsidR="00A97737">
        <w:t>k nevysvětleným změnám v rozsahu výuky. Větší změny souvisí se změnami kurikula.</w:t>
      </w:r>
    </w:p>
    <w:p w14:paraId="3D821FBA" w14:textId="6473371D" w:rsidR="00A97737" w:rsidRDefault="00A97737" w:rsidP="000446D4">
      <w:r>
        <w:t>Přepočet mzdových limitů na výukovou zátěž: celofakultní medián je cca 2000,- Kč na hodinu výukové zátěže.</w:t>
      </w:r>
    </w:p>
    <w:p w14:paraId="33162DE6" w14:textId="74EBACA3" w:rsidR="00A97737" w:rsidRDefault="00A97737" w:rsidP="000446D4"/>
    <w:p w14:paraId="104AF27D" w14:textId="4D8D6513" w:rsidR="00A97737" w:rsidRDefault="006B52CE" w:rsidP="000446D4">
      <w:r>
        <w:rPr>
          <w:noProof/>
        </w:rPr>
        <w:drawing>
          <wp:inline distT="0" distB="0" distL="0" distR="0" wp14:anchorId="73DC31E2" wp14:editId="561A6479">
            <wp:extent cx="6035675" cy="3310255"/>
            <wp:effectExtent l="0" t="0" r="3175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737">
        <w:br/>
      </w:r>
    </w:p>
    <w:p w14:paraId="1EB2B96A" w14:textId="77777777" w:rsidR="00A97737" w:rsidRDefault="00A97737"/>
    <w:p w14:paraId="263BF01D" w14:textId="3BC20E7E" w:rsidR="00A97737" w:rsidRDefault="00A97737">
      <w:r>
        <w:t>V dalších grafech jsou pracoviště rozdělena do skupin. Grafy ukazují mzdové limity / hod. výukové zátěže vyjádřené jako procenta mediánu pro danou skupinu.</w:t>
      </w:r>
      <w:r>
        <w:br w:type="page"/>
      </w:r>
    </w:p>
    <w:p w14:paraId="0262FAAC" w14:textId="40D91C79" w:rsidR="00A97737" w:rsidRDefault="00A97737" w:rsidP="00A97737">
      <w:pPr>
        <w:pStyle w:val="Nadpis1"/>
      </w:pPr>
      <w:r>
        <w:lastRenderedPageBreak/>
        <w:t>Teorie</w:t>
      </w:r>
    </w:p>
    <w:p w14:paraId="64261DFB" w14:textId="446B720D" w:rsidR="00A97737" w:rsidRDefault="00A97737" w:rsidP="00A97737"/>
    <w:p w14:paraId="47476F76" w14:textId="55C03404" w:rsidR="00A97737" w:rsidRDefault="006B52CE" w:rsidP="00A97737">
      <w:r>
        <w:rPr>
          <w:noProof/>
        </w:rPr>
        <w:drawing>
          <wp:inline distT="0" distB="0" distL="0" distR="0" wp14:anchorId="6D755A69" wp14:editId="37907EFD">
            <wp:extent cx="6066155" cy="332232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85784" w14:textId="14184A75" w:rsidR="006B52CE" w:rsidRDefault="006B52CE" w:rsidP="00A97737">
      <w:r>
        <w:rPr>
          <w:noProof/>
        </w:rPr>
        <w:drawing>
          <wp:inline distT="0" distB="0" distL="0" distR="0" wp14:anchorId="18AF8208" wp14:editId="7B5201B4">
            <wp:extent cx="6023610" cy="3651885"/>
            <wp:effectExtent l="0" t="0" r="0" b="57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D28EA" w14:textId="77777777" w:rsidR="00A97737" w:rsidRDefault="00A97737">
      <w:r>
        <w:br w:type="page"/>
      </w:r>
    </w:p>
    <w:p w14:paraId="19D1B187" w14:textId="7BE6E8AC" w:rsidR="00634CAA" w:rsidRDefault="00634CAA" w:rsidP="00634CAA">
      <w:pPr>
        <w:pStyle w:val="Nadpis1"/>
      </w:pPr>
      <w:r>
        <w:lastRenderedPageBreak/>
        <w:t>Preklinika</w:t>
      </w:r>
    </w:p>
    <w:p w14:paraId="24DA3E82" w14:textId="293CA369" w:rsidR="00A97737" w:rsidRDefault="00A97737" w:rsidP="00A97737"/>
    <w:p w14:paraId="5AE8618C" w14:textId="1EC65668" w:rsidR="00A97737" w:rsidRDefault="008E0428" w:rsidP="00A97737">
      <w:r>
        <w:rPr>
          <w:noProof/>
        </w:rPr>
        <w:drawing>
          <wp:inline distT="0" distB="0" distL="0" distR="0" wp14:anchorId="2DDA99F4" wp14:editId="22D6A00A">
            <wp:extent cx="5645150" cy="331660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1E775" w14:textId="70E67BD4" w:rsidR="00A97737" w:rsidRDefault="00A97737" w:rsidP="00A97737"/>
    <w:p w14:paraId="552960A9" w14:textId="1B5EA1CD" w:rsidR="00A97737" w:rsidRDefault="008E0428" w:rsidP="00A97737">
      <w:r>
        <w:t>Ústav tělovýchovného lékařství nevyučuje žádný povinný předmět.</w:t>
      </w:r>
    </w:p>
    <w:p w14:paraId="187206FF" w14:textId="2E44CC7E" w:rsidR="008E0428" w:rsidRDefault="008E0428" w:rsidP="00A97737">
      <w:r>
        <w:t>Při srovnání zátěže se započtením volitelných předmětů má 85 % mediánu.</w:t>
      </w:r>
    </w:p>
    <w:p w14:paraId="54FEA686" w14:textId="484740CA" w:rsidR="00634CAA" w:rsidRDefault="00634CAA">
      <w:r>
        <w:br w:type="page"/>
      </w:r>
    </w:p>
    <w:p w14:paraId="708D649D" w14:textId="7E88595B" w:rsidR="00634CAA" w:rsidRDefault="00634CAA" w:rsidP="00634CAA">
      <w:pPr>
        <w:pStyle w:val="Nadpis1"/>
      </w:pPr>
      <w:r>
        <w:lastRenderedPageBreak/>
        <w:t>Teorie a preklinika dohromady</w:t>
      </w:r>
    </w:p>
    <w:p w14:paraId="4FD8FA35" w14:textId="2065C0B0" w:rsidR="00634CAA" w:rsidRDefault="00634CAA" w:rsidP="00634CAA"/>
    <w:p w14:paraId="4CA5167A" w14:textId="3AF898A0" w:rsidR="00634CAA" w:rsidRDefault="008E0428" w:rsidP="00634CAA">
      <w:r>
        <w:rPr>
          <w:noProof/>
        </w:rPr>
        <w:drawing>
          <wp:inline distT="0" distB="0" distL="0" distR="0" wp14:anchorId="29CC3BB2" wp14:editId="0DB37EB8">
            <wp:extent cx="5901690" cy="4041775"/>
            <wp:effectExtent l="0" t="0" r="381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40A3D" w14:textId="47A07704" w:rsidR="008E0428" w:rsidRDefault="008E0428" w:rsidP="00634CAA">
      <w:r>
        <w:rPr>
          <w:noProof/>
        </w:rPr>
        <w:drawing>
          <wp:inline distT="0" distB="0" distL="0" distR="0" wp14:anchorId="0AE2BA08" wp14:editId="670861E5">
            <wp:extent cx="5901690" cy="4048125"/>
            <wp:effectExtent l="0" t="0" r="381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C7151" w14:textId="4B2CCCBB" w:rsidR="00634CAA" w:rsidRDefault="00634CAA" w:rsidP="00634CAA">
      <w:pPr>
        <w:pStyle w:val="Nadpis1"/>
      </w:pPr>
      <w:r>
        <w:br w:type="page"/>
      </w:r>
      <w:r>
        <w:lastRenderedPageBreak/>
        <w:t>Interní obory</w:t>
      </w:r>
    </w:p>
    <w:p w14:paraId="10B6F3C2" w14:textId="58E5D314" w:rsidR="00634CAA" w:rsidRDefault="008E0428" w:rsidP="00634CAA">
      <w:r>
        <w:rPr>
          <w:noProof/>
        </w:rPr>
        <w:drawing>
          <wp:inline distT="0" distB="0" distL="0" distR="0" wp14:anchorId="62879B4A" wp14:editId="79AC0FC4">
            <wp:extent cx="5755005" cy="431038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1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252BC" w14:textId="64295EB1" w:rsidR="00634CAA" w:rsidRDefault="00634CAA" w:rsidP="00634CAA">
      <w:pPr>
        <w:pStyle w:val="Nadpis1"/>
      </w:pPr>
      <w:r>
        <w:t>Chirurgické obory</w:t>
      </w:r>
    </w:p>
    <w:p w14:paraId="22228C23" w14:textId="38B73785" w:rsidR="00634CAA" w:rsidRDefault="008E0428" w:rsidP="00634CAA">
      <w:r>
        <w:rPr>
          <w:noProof/>
        </w:rPr>
        <w:drawing>
          <wp:inline distT="0" distB="0" distL="0" distR="0" wp14:anchorId="7807A2E8" wp14:editId="76085524">
            <wp:extent cx="5901690" cy="3560445"/>
            <wp:effectExtent l="0" t="0" r="381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AE0D0" w14:textId="4CADB493" w:rsidR="00634CAA" w:rsidRDefault="00634CAA">
      <w:r>
        <w:br w:type="page"/>
      </w:r>
    </w:p>
    <w:p w14:paraId="32A264E3" w14:textId="5AB1D589" w:rsidR="00634CAA" w:rsidRDefault="00634CAA" w:rsidP="00634CAA">
      <w:pPr>
        <w:pStyle w:val="Nadpis1"/>
      </w:pPr>
      <w:r>
        <w:lastRenderedPageBreak/>
        <w:t>Diagnostické obory</w:t>
      </w:r>
    </w:p>
    <w:p w14:paraId="7359BEB6" w14:textId="762CC8DC" w:rsidR="00634CAA" w:rsidRDefault="008E0428" w:rsidP="00634CAA">
      <w:r>
        <w:rPr>
          <w:noProof/>
        </w:rPr>
        <w:drawing>
          <wp:inline distT="0" distB="0" distL="0" distR="0" wp14:anchorId="40D4F6D8" wp14:editId="5FB6782A">
            <wp:extent cx="5815965" cy="22682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1AE2D" w14:textId="2207D059" w:rsidR="00634CAA" w:rsidRDefault="00634CAA" w:rsidP="00634CAA"/>
    <w:p w14:paraId="20D09F21" w14:textId="3796988E" w:rsidR="00634CAA" w:rsidRDefault="00634CAA" w:rsidP="00634CAA">
      <w:pPr>
        <w:pStyle w:val="Nadpis1"/>
      </w:pPr>
      <w:r>
        <w:t>Ostatní kliniky</w:t>
      </w:r>
    </w:p>
    <w:p w14:paraId="2767402D" w14:textId="7E8E1841" w:rsidR="00634CAA" w:rsidRPr="00634CAA" w:rsidRDefault="008E0428" w:rsidP="00634CAA">
      <w:r>
        <w:rPr>
          <w:noProof/>
        </w:rPr>
        <w:drawing>
          <wp:inline distT="0" distB="0" distL="0" distR="0" wp14:anchorId="263384CC" wp14:editId="6CF7EEB9">
            <wp:extent cx="5456555" cy="2512060"/>
            <wp:effectExtent l="0" t="0" r="0" b="254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51B9F" w14:textId="77777777" w:rsidR="00634CAA" w:rsidRPr="00634CAA" w:rsidRDefault="00634CAA" w:rsidP="00634CAA"/>
    <w:sectPr w:rsidR="00634CAA" w:rsidRPr="0063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C42"/>
    <w:multiLevelType w:val="hybridMultilevel"/>
    <w:tmpl w:val="9378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1102"/>
    <w:multiLevelType w:val="hybridMultilevel"/>
    <w:tmpl w:val="43BCD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D4"/>
    <w:rsid w:val="000446D4"/>
    <w:rsid w:val="00634CAA"/>
    <w:rsid w:val="006B52CE"/>
    <w:rsid w:val="008E0428"/>
    <w:rsid w:val="00A97737"/>
    <w:rsid w:val="00DC7021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8FE"/>
  <w15:chartTrackingRefBased/>
  <w15:docId w15:val="{2B8CA57E-5BE5-41A6-BA1C-B8673F4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4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4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46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97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Vejražka</dc:creator>
  <cp:keywords/>
  <dc:description/>
  <cp:lastModifiedBy>Martin Vejražka</cp:lastModifiedBy>
  <cp:revision>3</cp:revision>
  <dcterms:created xsi:type="dcterms:W3CDTF">2021-11-11T08:22:00Z</dcterms:created>
  <dcterms:modified xsi:type="dcterms:W3CDTF">2021-11-11T08:35:00Z</dcterms:modified>
</cp:coreProperties>
</file>