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CC7F6" w14:textId="71CA8A70" w:rsidR="00F20B8F" w:rsidRPr="00AC72BF" w:rsidRDefault="009D3620" w:rsidP="003672BA">
      <w:pPr>
        <w:autoSpaceDE w:val="0"/>
        <w:autoSpaceDN w:val="0"/>
        <w:adjustRightInd w:val="0"/>
        <w:spacing w:after="0" w:line="240" w:lineRule="auto"/>
        <w:ind w:right="93"/>
        <w:jc w:val="center"/>
        <w:rPr>
          <w:rFonts w:ascii="Times New Roman" w:hAnsi="Times New Roman"/>
          <w:b/>
          <w:bCs/>
          <w:sz w:val="24"/>
          <w:szCs w:val="24"/>
          <w:lang w:val="en-GB"/>
        </w:rPr>
      </w:pPr>
      <w:bookmarkStart w:id="0" w:name="_GoBack"/>
      <w:bookmarkEnd w:id="0"/>
      <w:r>
        <w:rPr>
          <w:rFonts w:ascii="Times New Roman" w:hAnsi="Times New Roman"/>
          <w:b/>
          <w:bCs/>
          <w:sz w:val="24"/>
          <w:szCs w:val="24"/>
          <w:lang w:val="en-GB"/>
        </w:rPr>
        <w:t xml:space="preserve"> </w:t>
      </w:r>
      <w:r w:rsidR="005D149A" w:rsidRPr="00AC72BF">
        <w:rPr>
          <w:rFonts w:ascii="Times New Roman" w:hAnsi="Times New Roman"/>
          <w:b/>
          <w:bCs/>
          <w:sz w:val="24"/>
          <w:szCs w:val="24"/>
          <w:lang w:val="en-GB"/>
        </w:rPr>
        <w:t xml:space="preserve">Evaluation of Research </w:t>
      </w:r>
      <w:r w:rsidR="00775CA5" w:rsidRPr="00AC72BF">
        <w:rPr>
          <w:rFonts w:ascii="Times New Roman" w:hAnsi="Times New Roman"/>
          <w:b/>
          <w:bCs/>
          <w:sz w:val="24"/>
          <w:szCs w:val="24"/>
          <w:lang w:val="en-GB"/>
        </w:rPr>
        <w:t>Fields/</w:t>
      </w:r>
      <w:r w:rsidR="00E13ED0" w:rsidRPr="00AC72BF">
        <w:rPr>
          <w:rFonts w:ascii="Times New Roman" w:hAnsi="Times New Roman"/>
          <w:b/>
          <w:bCs/>
          <w:sz w:val="24"/>
          <w:szCs w:val="24"/>
          <w:lang w:val="en-GB"/>
        </w:rPr>
        <w:t>Areas</w:t>
      </w:r>
    </w:p>
    <w:p w14:paraId="47E42676" w14:textId="16BEB1F6" w:rsidR="00E93C7A" w:rsidRDefault="008A1024" w:rsidP="003672BA">
      <w:pPr>
        <w:spacing w:after="0" w:line="360" w:lineRule="auto"/>
        <w:ind w:right="93"/>
        <w:jc w:val="center"/>
        <w:rPr>
          <w:rFonts w:ascii="Times New Roman" w:hAnsi="Times New Roman"/>
          <w:b/>
          <w:bCs/>
          <w:i/>
          <w:sz w:val="24"/>
          <w:szCs w:val="24"/>
          <w:lang w:val="en-GB"/>
        </w:rPr>
      </w:pPr>
      <w:r w:rsidRPr="00AC72BF">
        <w:rPr>
          <w:rFonts w:ascii="Times New Roman" w:hAnsi="Times New Roman"/>
          <w:b/>
          <w:bCs/>
          <w:i/>
          <w:sz w:val="24"/>
          <w:szCs w:val="24"/>
          <w:lang w:val="en-GB"/>
        </w:rPr>
        <w:t>Medicine</w:t>
      </w:r>
      <w:r w:rsidR="005F3844">
        <w:rPr>
          <w:rFonts w:ascii="Times New Roman" w:hAnsi="Times New Roman"/>
          <w:b/>
          <w:bCs/>
          <w:i/>
          <w:sz w:val="24"/>
          <w:szCs w:val="24"/>
          <w:lang w:val="en-GB"/>
        </w:rPr>
        <w:t>, v. 2020.08.06</w:t>
      </w:r>
    </w:p>
    <w:p w14:paraId="3C3451AE" w14:textId="77777777" w:rsidR="00E93C7A" w:rsidRDefault="00E93C7A" w:rsidP="003672BA">
      <w:pPr>
        <w:spacing w:after="0" w:line="360" w:lineRule="auto"/>
        <w:ind w:right="93"/>
        <w:jc w:val="center"/>
        <w:rPr>
          <w:rFonts w:ascii="Times New Roman" w:hAnsi="Times New Roman"/>
          <w:b/>
          <w:bCs/>
          <w:i/>
          <w:sz w:val="24"/>
          <w:szCs w:val="24"/>
          <w:lang w:val="en-GB"/>
        </w:rPr>
      </w:pPr>
    </w:p>
    <w:p w14:paraId="75B41C7A" w14:textId="09FC7C13" w:rsidR="008E6D28" w:rsidRDefault="00E93C7A" w:rsidP="003672BA">
      <w:pPr>
        <w:spacing w:after="0" w:line="360" w:lineRule="auto"/>
        <w:ind w:right="93"/>
        <w:jc w:val="center"/>
        <w:rPr>
          <w:rFonts w:ascii="Times New Roman" w:hAnsi="Times New Roman"/>
          <w:b/>
          <w:bCs/>
          <w:i/>
          <w:sz w:val="24"/>
          <w:szCs w:val="24"/>
          <w:lang w:val="en-GB"/>
        </w:rPr>
      </w:pPr>
      <w:r>
        <w:rPr>
          <w:rFonts w:ascii="Times New Roman" w:hAnsi="Times New Roman"/>
          <w:b/>
          <w:bCs/>
          <w:i/>
          <w:noProof/>
          <w:sz w:val="24"/>
          <w:szCs w:val="24"/>
          <w:lang w:eastAsia="cs-CZ"/>
        </w:rPr>
        <w:drawing>
          <wp:inline distT="0" distB="0" distL="0" distR="0" wp14:anchorId="33C281A5" wp14:editId="0FCAE0DB">
            <wp:extent cx="1854200" cy="1828800"/>
            <wp:effectExtent l="0" t="0" r="0" b="0"/>
            <wp:docPr id="5" name="Picture 5" descr="beiliegend die unterschriebene:Dokumente:2020 Charles University: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iegend die unterschriebene:Dokumente:2020 Charles University:UK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1828800"/>
                    </a:xfrm>
                    <a:prstGeom prst="rect">
                      <a:avLst/>
                    </a:prstGeom>
                    <a:noFill/>
                    <a:ln>
                      <a:noFill/>
                    </a:ln>
                  </pic:spPr>
                </pic:pic>
              </a:graphicData>
            </a:graphic>
          </wp:inline>
        </w:drawing>
      </w:r>
    </w:p>
    <w:p w14:paraId="4874F301" w14:textId="77777777" w:rsidR="006350BD" w:rsidRDefault="006350BD" w:rsidP="003672BA">
      <w:pPr>
        <w:spacing w:after="0" w:line="360" w:lineRule="auto"/>
        <w:ind w:right="93"/>
        <w:jc w:val="center"/>
        <w:rPr>
          <w:rFonts w:ascii="Times New Roman" w:hAnsi="Times New Roman"/>
          <w:b/>
          <w:bCs/>
          <w:i/>
          <w:sz w:val="24"/>
          <w:szCs w:val="24"/>
          <w:lang w:val="en-GB"/>
        </w:rPr>
      </w:pPr>
    </w:p>
    <w:p w14:paraId="65522433" w14:textId="77777777" w:rsidR="006350BD" w:rsidRPr="00AC72BF" w:rsidRDefault="006350BD" w:rsidP="003672BA">
      <w:pPr>
        <w:spacing w:after="0" w:line="360" w:lineRule="auto"/>
        <w:ind w:right="93"/>
        <w:jc w:val="center"/>
        <w:rPr>
          <w:rFonts w:ascii="Times New Roman" w:hAnsi="Times New Roman"/>
          <w:bCs/>
          <w:sz w:val="24"/>
          <w:szCs w:val="24"/>
          <w:lang w:val="en-GB"/>
        </w:rPr>
      </w:pPr>
    </w:p>
    <w:p w14:paraId="3F91A618" w14:textId="77777777" w:rsidR="00587F53" w:rsidRPr="00AC72BF" w:rsidRDefault="00587F53" w:rsidP="003672BA">
      <w:pPr>
        <w:spacing w:after="0" w:line="360" w:lineRule="auto"/>
        <w:ind w:right="93"/>
        <w:jc w:val="both"/>
        <w:rPr>
          <w:rFonts w:ascii="Times New Roman" w:eastAsia="Times New Roman" w:hAnsi="Times New Roman"/>
          <w:sz w:val="24"/>
          <w:szCs w:val="24"/>
          <w:lang w:val="en-GB" w:eastAsia="cs-CZ"/>
        </w:rPr>
      </w:pPr>
    </w:p>
    <w:p w14:paraId="419FA21B" w14:textId="71AAF50C" w:rsidR="00850260" w:rsidRPr="00AC72BF" w:rsidRDefault="00587F53" w:rsidP="003672BA">
      <w:pPr>
        <w:spacing w:after="0" w:line="360" w:lineRule="auto"/>
        <w:ind w:right="93"/>
        <w:jc w:val="both"/>
        <w:rPr>
          <w:rFonts w:ascii="Times New Roman" w:eastAsia="Times New Roman" w:hAnsi="Times New Roman"/>
          <w:sz w:val="24"/>
          <w:szCs w:val="24"/>
          <w:lang w:val="en-GB" w:eastAsia="cs-CZ"/>
        </w:rPr>
      </w:pPr>
      <w:r>
        <w:rPr>
          <w:rFonts w:ascii="Times New Roman" w:eastAsia="Times New Roman" w:hAnsi="Times New Roman"/>
          <w:sz w:val="24"/>
          <w:szCs w:val="24"/>
          <w:lang w:val="en-GB" w:eastAsia="cs-CZ"/>
        </w:rPr>
        <w:t>Preamb</w:t>
      </w:r>
      <w:r w:rsidR="00D878BD">
        <w:rPr>
          <w:rFonts w:ascii="Times New Roman" w:eastAsia="Times New Roman" w:hAnsi="Times New Roman"/>
          <w:sz w:val="24"/>
          <w:szCs w:val="24"/>
          <w:lang w:val="en-GB" w:eastAsia="cs-CZ"/>
        </w:rPr>
        <w:t>le</w:t>
      </w:r>
      <w:r>
        <w:rPr>
          <w:rFonts w:ascii="Times New Roman" w:eastAsia="Times New Roman" w:hAnsi="Times New Roman"/>
          <w:sz w:val="24"/>
          <w:szCs w:val="24"/>
          <w:lang w:val="en-GB" w:eastAsia="cs-CZ"/>
        </w:rPr>
        <w:t>:</w:t>
      </w:r>
    </w:p>
    <w:p w14:paraId="469FD7D6" w14:textId="6DD7D19D" w:rsidR="0019165E" w:rsidRPr="00587F53" w:rsidRDefault="0019165E" w:rsidP="0019165E">
      <w:pPr>
        <w:pStyle w:val="Odstavecseseznamem"/>
        <w:widowControl w:val="0"/>
        <w:spacing w:after="0"/>
        <w:ind w:left="360"/>
        <w:jc w:val="both"/>
        <w:rPr>
          <w:rFonts w:ascii="Times New Roman" w:hAnsi="Times New Roman"/>
          <w:b/>
          <w:bCs/>
          <w:sz w:val="24"/>
          <w:szCs w:val="24"/>
        </w:rPr>
      </w:pPr>
      <w:r w:rsidRPr="00AC72BF">
        <w:rPr>
          <w:rFonts w:ascii="Times New Roman" w:hAnsi="Times New Roman"/>
          <w:sz w:val="24"/>
          <w:szCs w:val="24"/>
        </w:rPr>
        <w:t>The Czech Republic</w:t>
      </w:r>
      <w:r w:rsidR="00D878BD">
        <w:rPr>
          <w:rFonts w:ascii="Times New Roman" w:hAnsi="Times New Roman"/>
          <w:sz w:val="24"/>
          <w:szCs w:val="24"/>
        </w:rPr>
        <w:t xml:space="preserve"> has eight medical faculties to care for its</w:t>
      </w:r>
      <w:r w:rsidRPr="00AC72BF">
        <w:rPr>
          <w:rFonts w:ascii="Times New Roman" w:hAnsi="Times New Roman"/>
          <w:sz w:val="24"/>
          <w:szCs w:val="24"/>
        </w:rPr>
        <w:t xml:space="preserve"> 10.5 million inhabitants</w:t>
      </w:r>
      <w:r w:rsidR="00D878BD">
        <w:rPr>
          <w:rFonts w:ascii="Times New Roman" w:hAnsi="Times New Roman"/>
          <w:sz w:val="24"/>
          <w:szCs w:val="24"/>
        </w:rPr>
        <w:t>, with five of them belonging to</w:t>
      </w:r>
      <w:r w:rsidRPr="00AC72BF">
        <w:rPr>
          <w:rFonts w:ascii="Times New Roman" w:hAnsi="Times New Roman"/>
          <w:sz w:val="24"/>
          <w:szCs w:val="24"/>
        </w:rPr>
        <w:t xml:space="preserve"> Charles University.</w:t>
      </w:r>
      <w:r>
        <w:rPr>
          <w:rFonts w:ascii="Times New Roman" w:hAnsi="Times New Roman"/>
          <w:sz w:val="24"/>
          <w:szCs w:val="24"/>
        </w:rPr>
        <w:t xml:space="preserve"> </w:t>
      </w:r>
      <w:r w:rsidR="00D878BD">
        <w:rPr>
          <w:rFonts w:ascii="Times New Roman" w:hAnsi="Times New Roman"/>
          <w:sz w:val="24"/>
          <w:szCs w:val="24"/>
        </w:rPr>
        <w:t xml:space="preserve">Of </w:t>
      </w:r>
      <w:r>
        <w:rPr>
          <w:rFonts w:ascii="Times New Roman" w:hAnsi="Times New Roman"/>
          <w:sz w:val="24"/>
          <w:szCs w:val="24"/>
        </w:rPr>
        <w:t xml:space="preserve">2 pharmaceutical faculties in the Czech Republic, </w:t>
      </w:r>
      <w:r w:rsidR="00D878BD">
        <w:rPr>
          <w:rFonts w:ascii="Times New Roman" w:hAnsi="Times New Roman"/>
          <w:sz w:val="24"/>
          <w:szCs w:val="24"/>
        </w:rPr>
        <w:t>one belongs to the</w:t>
      </w:r>
      <w:r>
        <w:rPr>
          <w:rFonts w:ascii="Times New Roman" w:hAnsi="Times New Roman"/>
          <w:sz w:val="24"/>
          <w:szCs w:val="24"/>
        </w:rPr>
        <w:t xml:space="preserve"> Charles University and </w:t>
      </w:r>
      <w:r w:rsidR="00D878BD">
        <w:rPr>
          <w:rFonts w:ascii="Times New Roman" w:hAnsi="Times New Roman"/>
          <w:sz w:val="24"/>
          <w:szCs w:val="24"/>
        </w:rPr>
        <w:t xml:space="preserve">is </w:t>
      </w:r>
      <w:r>
        <w:rPr>
          <w:rFonts w:ascii="Times New Roman" w:hAnsi="Times New Roman"/>
          <w:sz w:val="24"/>
          <w:szCs w:val="24"/>
        </w:rPr>
        <w:t>located in Hradec Kralove.</w:t>
      </w:r>
      <w:r w:rsidRPr="00AC72BF">
        <w:rPr>
          <w:rFonts w:ascii="Times New Roman" w:hAnsi="Times New Roman"/>
          <w:sz w:val="24"/>
          <w:szCs w:val="24"/>
        </w:rPr>
        <w:t xml:space="preserve"> Three of the medical faculties of Charles University are located in Prague, while one is located in Pilsen, a middle-sized city in the south west of the capital and another </w:t>
      </w:r>
      <w:r w:rsidR="00D878BD">
        <w:rPr>
          <w:rFonts w:ascii="Times New Roman" w:hAnsi="Times New Roman"/>
          <w:sz w:val="24"/>
          <w:szCs w:val="24"/>
        </w:rPr>
        <w:t xml:space="preserve">is located in </w:t>
      </w:r>
      <w:r w:rsidRPr="00AC72BF">
        <w:rPr>
          <w:rFonts w:ascii="Times New Roman" w:hAnsi="Times New Roman"/>
          <w:sz w:val="24"/>
          <w:szCs w:val="24"/>
        </w:rPr>
        <w:t xml:space="preserve"> Hradec Kralové</w:t>
      </w:r>
      <w:r w:rsidR="00D878BD">
        <w:rPr>
          <w:rFonts w:ascii="Times New Roman" w:hAnsi="Times New Roman"/>
          <w:sz w:val="24"/>
          <w:szCs w:val="24"/>
        </w:rPr>
        <w:t>, which is to</w:t>
      </w:r>
      <w:r w:rsidRPr="00AC72BF">
        <w:rPr>
          <w:rFonts w:ascii="Times New Roman" w:hAnsi="Times New Roman"/>
          <w:sz w:val="24"/>
          <w:szCs w:val="24"/>
        </w:rPr>
        <w:t xml:space="preserve"> the east of Prague. This organisation is unusual in Europe</w:t>
      </w:r>
      <w:r w:rsidR="00D878BD">
        <w:rPr>
          <w:rFonts w:ascii="Times New Roman" w:hAnsi="Times New Roman"/>
          <w:sz w:val="24"/>
          <w:szCs w:val="24"/>
        </w:rPr>
        <w:t xml:space="preserve"> and</w:t>
      </w:r>
      <w:r w:rsidRPr="00AC72BF">
        <w:rPr>
          <w:rFonts w:ascii="Times New Roman" w:hAnsi="Times New Roman"/>
          <w:sz w:val="24"/>
          <w:szCs w:val="24"/>
        </w:rPr>
        <w:t xml:space="preserve"> provides opportunities for multicentre studies</w:t>
      </w:r>
      <w:r w:rsidR="00D878BD">
        <w:rPr>
          <w:rFonts w:ascii="Times New Roman" w:hAnsi="Times New Roman"/>
          <w:sz w:val="24"/>
          <w:szCs w:val="24"/>
        </w:rPr>
        <w:t>,</w:t>
      </w:r>
      <w:r w:rsidRPr="00AC72BF">
        <w:rPr>
          <w:rFonts w:ascii="Times New Roman" w:hAnsi="Times New Roman"/>
          <w:sz w:val="24"/>
          <w:szCs w:val="24"/>
        </w:rPr>
        <w:t xml:space="preserve"> as reflected by the successful Prague Trials.</w:t>
      </w:r>
      <w:r>
        <w:rPr>
          <w:rFonts w:ascii="Times New Roman" w:hAnsi="Times New Roman"/>
          <w:sz w:val="24"/>
          <w:szCs w:val="24"/>
        </w:rPr>
        <w:t xml:space="preserve"> </w:t>
      </w:r>
      <w:r w:rsidRPr="00AC72BF">
        <w:rPr>
          <w:rFonts w:ascii="Times New Roman" w:hAnsi="Times New Roman"/>
          <w:sz w:val="24"/>
          <w:szCs w:val="24"/>
        </w:rPr>
        <w:t xml:space="preserve">Each of the five medical faculties of Charles University are associated with a large </w:t>
      </w:r>
      <w:r w:rsidR="00485878">
        <w:rPr>
          <w:rFonts w:ascii="Times New Roman" w:hAnsi="Times New Roman"/>
          <w:sz w:val="24"/>
          <w:szCs w:val="24"/>
        </w:rPr>
        <w:t>tertiary care</w:t>
      </w:r>
      <w:r w:rsidRPr="00AC72BF">
        <w:rPr>
          <w:rFonts w:ascii="Times New Roman" w:hAnsi="Times New Roman"/>
          <w:sz w:val="24"/>
          <w:szCs w:val="24"/>
        </w:rPr>
        <w:t xml:space="preserve">hospital, although the faculty and hospitals are legally two different institutions. Thus, a lot of research, is not only done under the umbrella of the medical </w:t>
      </w:r>
      <w:r>
        <w:rPr>
          <w:rFonts w:ascii="Times New Roman" w:hAnsi="Times New Roman"/>
          <w:sz w:val="24"/>
          <w:szCs w:val="24"/>
        </w:rPr>
        <w:t xml:space="preserve">and pharmaceutical </w:t>
      </w:r>
      <w:r w:rsidRPr="00AC72BF">
        <w:rPr>
          <w:rFonts w:ascii="Times New Roman" w:hAnsi="Times New Roman"/>
          <w:sz w:val="24"/>
          <w:szCs w:val="24"/>
        </w:rPr>
        <w:t>faculties or the University, , but also at the University hospitals and in some cases affiliated hospitals such as the Thomayer Hospital in Prague</w:t>
      </w:r>
      <w:r w:rsidRPr="00587F53">
        <w:rPr>
          <w:rFonts w:ascii="Times New Roman" w:hAnsi="Times New Roman"/>
          <w:sz w:val="24"/>
          <w:szCs w:val="24"/>
        </w:rPr>
        <w:t xml:space="preserve">. Academic careers at Charles University </w:t>
      </w:r>
      <w:r w:rsidR="00D878BD">
        <w:rPr>
          <w:rFonts w:ascii="Times New Roman" w:hAnsi="Times New Roman"/>
          <w:sz w:val="24"/>
          <w:szCs w:val="24"/>
        </w:rPr>
        <w:t>characteristically start</w:t>
      </w:r>
      <w:r w:rsidRPr="00587F53">
        <w:rPr>
          <w:rFonts w:ascii="Times New Roman" w:hAnsi="Times New Roman"/>
          <w:sz w:val="24"/>
          <w:szCs w:val="24"/>
        </w:rPr>
        <w:t xml:space="preserve"> with medical </w:t>
      </w:r>
      <w:r>
        <w:rPr>
          <w:rFonts w:ascii="Times New Roman" w:hAnsi="Times New Roman"/>
          <w:sz w:val="24"/>
          <w:szCs w:val="24"/>
        </w:rPr>
        <w:t xml:space="preserve">or pharmaceutical </w:t>
      </w:r>
      <w:r w:rsidRPr="00587F53">
        <w:rPr>
          <w:rFonts w:ascii="Times New Roman" w:hAnsi="Times New Roman"/>
          <w:sz w:val="24"/>
          <w:szCs w:val="24"/>
        </w:rPr>
        <w:t>studies</w:t>
      </w:r>
      <w:r w:rsidR="007139AA">
        <w:rPr>
          <w:rFonts w:ascii="Times New Roman" w:hAnsi="Times New Roman"/>
          <w:sz w:val="24"/>
          <w:szCs w:val="24"/>
        </w:rPr>
        <w:t xml:space="preserve"> culminating in </w:t>
      </w:r>
      <w:r w:rsidRPr="00587F53">
        <w:rPr>
          <w:rFonts w:ascii="Times New Roman" w:hAnsi="Times New Roman"/>
          <w:sz w:val="24"/>
          <w:szCs w:val="24"/>
        </w:rPr>
        <w:t>a degree as a medical doctor</w:t>
      </w:r>
      <w:r>
        <w:rPr>
          <w:rFonts w:ascii="Times New Roman" w:hAnsi="Times New Roman"/>
          <w:sz w:val="24"/>
          <w:szCs w:val="24"/>
        </w:rPr>
        <w:t xml:space="preserve"> or master of pharmacy</w:t>
      </w:r>
      <w:r w:rsidRPr="00587F53">
        <w:rPr>
          <w:rFonts w:ascii="Times New Roman" w:hAnsi="Times New Roman"/>
          <w:sz w:val="24"/>
          <w:szCs w:val="24"/>
        </w:rPr>
        <w:t>, followed by PhD programs for those pursuing an academic career. The next step is Associate Professor</w:t>
      </w:r>
      <w:r w:rsidR="007139AA">
        <w:rPr>
          <w:rFonts w:ascii="Times New Roman" w:hAnsi="Times New Roman"/>
          <w:sz w:val="24"/>
          <w:szCs w:val="24"/>
        </w:rPr>
        <w:t>,</w:t>
      </w:r>
      <w:r w:rsidRPr="00587F53">
        <w:rPr>
          <w:rFonts w:ascii="Times New Roman" w:hAnsi="Times New Roman"/>
          <w:sz w:val="24"/>
          <w:szCs w:val="24"/>
        </w:rPr>
        <w:t xml:space="preserve"> and the highest academic degree is Full Professor. Such a professorship may or may not be associated with a leading position within the hospital.</w:t>
      </w:r>
      <w:r>
        <w:rPr>
          <w:rFonts w:ascii="Times New Roman" w:hAnsi="Times New Roman"/>
          <w:sz w:val="24"/>
          <w:szCs w:val="24"/>
        </w:rPr>
        <w:t xml:space="preserve"> </w:t>
      </w:r>
      <w:r>
        <w:rPr>
          <w:rFonts w:ascii="Times New Roman" w:hAnsi="Times New Roman"/>
          <w:sz w:val="24"/>
          <w:szCs w:val="24"/>
        </w:rPr>
        <w:lastRenderedPageBreak/>
        <w:t>R</w:t>
      </w:r>
      <w:r w:rsidRPr="00587F53">
        <w:rPr>
          <w:rFonts w:ascii="Times New Roman" w:hAnsi="Times New Roman"/>
          <w:sz w:val="24"/>
          <w:szCs w:val="24"/>
        </w:rPr>
        <w:t xml:space="preserve">esearch funding within the Czech Republic is not at the level of </w:t>
      </w:r>
      <w:r w:rsidR="007139AA">
        <w:rPr>
          <w:rFonts w:ascii="Times New Roman" w:hAnsi="Times New Roman"/>
          <w:sz w:val="24"/>
          <w:szCs w:val="24"/>
        </w:rPr>
        <w:t xml:space="preserve">many </w:t>
      </w:r>
      <w:r w:rsidRPr="00587F53">
        <w:rPr>
          <w:rFonts w:ascii="Times New Roman" w:hAnsi="Times New Roman"/>
          <w:sz w:val="24"/>
          <w:szCs w:val="24"/>
        </w:rPr>
        <w:t xml:space="preserve">other European </w:t>
      </w:r>
      <w:r w:rsidR="007139AA">
        <w:rPr>
          <w:rFonts w:ascii="Times New Roman" w:hAnsi="Times New Roman"/>
          <w:sz w:val="24"/>
          <w:szCs w:val="24"/>
        </w:rPr>
        <w:t>u</w:t>
      </w:r>
      <w:r w:rsidRPr="00587F53">
        <w:rPr>
          <w:rFonts w:ascii="Times New Roman" w:hAnsi="Times New Roman"/>
          <w:sz w:val="24"/>
          <w:szCs w:val="24"/>
        </w:rPr>
        <w:t>niversities</w:t>
      </w:r>
      <w:r w:rsidR="007139AA">
        <w:rPr>
          <w:rFonts w:ascii="Times New Roman" w:hAnsi="Times New Roman"/>
          <w:sz w:val="24"/>
          <w:szCs w:val="24"/>
        </w:rPr>
        <w:t>, resulting in limited research funding for researchers.</w:t>
      </w:r>
      <w:r w:rsidRPr="00587F53">
        <w:rPr>
          <w:rFonts w:ascii="Times New Roman" w:hAnsi="Times New Roman"/>
          <w:sz w:val="24"/>
          <w:szCs w:val="24"/>
        </w:rPr>
        <w:t xml:space="preserve">. Indeed, the salaries for </w:t>
      </w:r>
      <w:r w:rsidR="007139AA">
        <w:rPr>
          <w:rFonts w:ascii="Times New Roman" w:hAnsi="Times New Roman"/>
          <w:sz w:val="24"/>
          <w:szCs w:val="24"/>
        </w:rPr>
        <w:t>post-doctoral fellows</w:t>
      </w:r>
      <w:r w:rsidRPr="00587F53">
        <w:rPr>
          <w:rFonts w:ascii="Times New Roman" w:hAnsi="Times New Roman"/>
          <w:sz w:val="24"/>
          <w:szCs w:val="24"/>
        </w:rPr>
        <w:t xml:space="preserve"> are </w:t>
      </w:r>
      <w:r w:rsidR="007139AA">
        <w:rPr>
          <w:rFonts w:ascii="Times New Roman" w:hAnsi="Times New Roman"/>
          <w:sz w:val="24"/>
          <w:szCs w:val="24"/>
        </w:rPr>
        <w:t>barely</w:t>
      </w:r>
      <w:r w:rsidR="007139AA" w:rsidRPr="00587F53">
        <w:rPr>
          <w:rFonts w:ascii="Times New Roman" w:hAnsi="Times New Roman"/>
          <w:sz w:val="24"/>
          <w:szCs w:val="24"/>
        </w:rPr>
        <w:t xml:space="preserve"> </w:t>
      </w:r>
      <w:r w:rsidRPr="00587F53">
        <w:rPr>
          <w:rFonts w:ascii="Times New Roman" w:hAnsi="Times New Roman"/>
          <w:sz w:val="24"/>
          <w:szCs w:val="24"/>
        </w:rPr>
        <w:t xml:space="preserve">enough to cover living expenses. Although some research teams collaborate with European and even American centers and may apply for European funding, national funding </w:t>
      </w:r>
      <w:r w:rsidR="007139AA">
        <w:rPr>
          <w:rFonts w:ascii="Times New Roman" w:hAnsi="Times New Roman"/>
          <w:sz w:val="24"/>
          <w:szCs w:val="24"/>
        </w:rPr>
        <w:t>is</w:t>
      </w:r>
      <w:r w:rsidRPr="00587F53">
        <w:rPr>
          <w:rFonts w:ascii="Times New Roman" w:hAnsi="Times New Roman"/>
          <w:sz w:val="24"/>
          <w:szCs w:val="24"/>
        </w:rPr>
        <w:t xml:space="preserve"> suboptimal</w:t>
      </w:r>
      <w:r w:rsidR="007139AA">
        <w:rPr>
          <w:rFonts w:ascii="Times New Roman" w:hAnsi="Times New Roman"/>
          <w:sz w:val="24"/>
          <w:szCs w:val="24"/>
        </w:rPr>
        <w:t xml:space="preserve"> and</w:t>
      </w:r>
      <w:r w:rsidR="00BD4276">
        <w:rPr>
          <w:rFonts w:ascii="Times New Roman" w:hAnsi="Times New Roman"/>
          <w:sz w:val="24"/>
          <w:szCs w:val="24"/>
        </w:rPr>
        <w:t>significantly below</w:t>
      </w:r>
      <w:r w:rsidRPr="00587F53">
        <w:rPr>
          <w:rFonts w:ascii="Times New Roman" w:hAnsi="Times New Roman"/>
          <w:sz w:val="24"/>
          <w:szCs w:val="24"/>
        </w:rPr>
        <w:t xml:space="preserve"> benchmark institutions in Europe</w:t>
      </w:r>
      <w:r w:rsidR="007139AA">
        <w:rPr>
          <w:rFonts w:ascii="Times New Roman" w:hAnsi="Times New Roman"/>
          <w:sz w:val="24"/>
          <w:szCs w:val="24"/>
        </w:rPr>
        <w:t>. Increases in funding</w:t>
      </w:r>
      <w:r w:rsidRPr="00587F53">
        <w:rPr>
          <w:rFonts w:ascii="Times New Roman" w:hAnsi="Times New Roman"/>
          <w:sz w:val="24"/>
          <w:szCs w:val="24"/>
        </w:rPr>
        <w:t xml:space="preserve"> should be </w:t>
      </w:r>
      <w:r w:rsidR="00BD4276">
        <w:rPr>
          <w:rFonts w:ascii="Times New Roman" w:hAnsi="Times New Roman"/>
          <w:sz w:val="24"/>
          <w:szCs w:val="24"/>
        </w:rPr>
        <w:t xml:space="preserve">seriously considered in the future to help medical research in the Czech republic to remain, and in some cases become, competitive.  </w:t>
      </w:r>
      <w:r w:rsidRPr="00587F53">
        <w:rPr>
          <w:rFonts w:ascii="Times New Roman" w:hAnsi="Times New Roman"/>
          <w:sz w:val="24"/>
          <w:szCs w:val="24"/>
        </w:rPr>
        <w:t xml:space="preserve"> A specific analysis of this issue </w:t>
      </w:r>
      <w:r w:rsidR="00BD4276">
        <w:rPr>
          <w:rFonts w:ascii="Times New Roman" w:hAnsi="Times New Roman"/>
          <w:sz w:val="24"/>
          <w:szCs w:val="24"/>
        </w:rPr>
        <w:t>is mandatory, as funding provides the foundation for research.</w:t>
      </w:r>
    </w:p>
    <w:p w14:paraId="7D280814" w14:textId="77777777" w:rsidR="0019165E" w:rsidRPr="00587F53" w:rsidRDefault="0019165E" w:rsidP="0019165E">
      <w:pPr>
        <w:widowControl w:val="0"/>
        <w:spacing w:after="0"/>
        <w:ind w:left="360"/>
        <w:jc w:val="both"/>
        <w:rPr>
          <w:rFonts w:ascii="Times New Roman" w:hAnsi="Times New Roman"/>
          <w:sz w:val="24"/>
          <w:szCs w:val="24"/>
        </w:rPr>
      </w:pPr>
    </w:p>
    <w:p w14:paraId="7FEBF20D" w14:textId="77777777" w:rsidR="003E3CD3" w:rsidRDefault="003E3CD3" w:rsidP="003672BA">
      <w:pPr>
        <w:spacing w:after="0" w:line="360" w:lineRule="auto"/>
        <w:ind w:right="93"/>
        <w:jc w:val="both"/>
        <w:rPr>
          <w:rFonts w:ascii="Times New Roman" w:hAnsi="Times New Roman"/>
          <w:sz w:val="24"/>
          <w:szCs w:val="24"/>
        </w:rPr>
      </w:pPr>
      <w:r>
        <w:rPr>
          <w:rFonts w:ascii="Times New Roman" w:hAnsi="Times New Roman"/>
          <w:sz w:val="24"/>
          <w:szCs w:val="24"/>
        </w:rPr>
        <w:t>Process:</w:t>
      </w:r>
    </w:p>
    <w:p w14:paraId="241AB78F" w14:textId="4295EF9B" w:rsidR="00850260" w:rsidRPr="00AC72BF" w:rsidRDefault="00857AEF" w:rsidP="003672BA">
      <w:pPr>
        <w:spacing w:after="0" w:line="360" w:lineRule="auto"/>
        <w:ind w:right="93"/>
        <w:jc w:val="both"/>
        <w:rPr>
          <w:rFonts w:ascii="Times New Roman" w:hAnsi="Times New Roman"/>
          <w:sz w:val="24"/>
          <w:szCs w:val="24"/>
        </w:rPr>
      </w:pPr>
      <w:r>
        <w:rPr>
          <w:rFonts w:ascii="Times New Roman" w:hAnsi="Times New Roman"/>
          <w:sz w:val="24"/>
          <w:szCs w:val="24"/>
        </w:rPr>
        <w:t xml:space="preserve">The Rectorate </w:t>
      </w:r>
      <w:r w:rsidR="003E3CD3">
        <w:rPr>
          <w:rFonts w:ascii="Times New Roman" w:hAnsi="Times New Roman"/>
          <w:sz w:val="24"/>
          <w:szCs w:val="24"/>
        </w:rPr>
        <w:t>of</w:t>
      </w:r>
      <w:r>
        <w:rPr>
          <w:rFonts w:ascii="Times New Roman" w:hAnsi="Times New Roman"/>
          <w:sz w:val="24"/>
          <w:szCs w:val="24"/>
        </w:rPr>
        <w:t xml:space="preserve">  the Charles University </w:t>
      </w:r>
      <w:r w:rsidR="003E3CD3">
        <w:rPr>
          <w:rFonts w:ascii="Times New Roman" w:hAnsi="Times New Roman"/>
          <w:sz w:val="24"/>
          <w:szCs w:val="24"/>
        </w:rPr>
        <w:t xml:space="preserve"> </w:t>
      </w:r>
      <w:r>
        <w:rPr>
          <w:rFonts w:ascii="Times New Roman" w:hAnsi="Times New Roman"/>
          <w:sz w:val="24"/>
          <w:szCs w:val="24"/>
        </w:rPr>
        <w:t>(</w:t>
      </w:r>
      <w:r w:rsidR="003E3CD3">
        <w:rPr>
          <w:rFonts w:ascii="Times New Roman" w:hAnsi="Times New Roman"/>
          <w:sz w:val="24"/>
          <w:szCs w:val="24"/>
        </w:rPr>
        <w:t>CUNI</w:t>
      </w:r>
      <w:r>
        <w:rPr>
          <w:rFonts w:ascii="Times New Roman" w:hAnsi="Times New Roman"/>
          <w:sz w:val="24"/>
          <w:szCs w:val="24"/>
        </w:rPr>
        <w:t>)</w:t>
      </w:r>
      <w:r w:rsidR="00850260" w:rsidRPr="00AC72BF">
        <w:rPr>
          <w:rFonts w:ascii="Times New Roman" w:hAnsi="Times New Roman"/>
          <w:sz w:val="24"/>
          <w:szCs w:val="24"/>
        </w:rPr>
        <w:t xml:space="preserve"> invited international experts to asse</w:t>
      </w:r>
      <w:r w:rsidR="003E3CD3">
        <w:rPr>
          <w:rFonts w:ascii="Times New Roman" w:hAnsi="Times New Roman"/>
          <w:sz w:val="24"/>
          <w:szCs w:val="24"/>
        </w:rPr>
        <w:t>s</w:t>
      </w:r>
      <w:r w:rsidR="00BD4276">
        <w:rPr>
          <w:rFonts w:ascii="Times New Roman" w:hAnsi="Times New Roman"/>
          <w:sz w:val="24"/>
          <w:szCs w:val="24"/>
        </w:rPr>
        <w:t>s</w:t>
      </w:r>
      <w:r w:rsidR="003E3CD3">
        <w:rPr>
          <w:rFonts w:ascii="Times New Roman" w:hAnsi="Times New Roman"/>
          <w:sz w:val="24"/>
          <w:szCs w:val="24"/>
        </w:rPr>
        <w:t xml:space="preserve"> the research outcome of the CUNI medical faculties. The panel included:</w:t>
      </w:r>
    </w:p>
    <w:p w14:paraId="61D41FD1" w14:textId="77777777" w:rsidR="00AC72BF" w:rsidRDefault="00AC72BF" w:rsidP="003672BA">
      <w:pPr>
        <w:widowControl w:val="0"/>
        <w:autoSpaceDE w:val="0"/>
        <w:autoSpaceDN w:val="0"/>
        <w:adjustRightInd w:val="0"/>
        <w:ind w:right="93"/>
        <w:rPr>
          <w:rFonts w:ascii="Times New Roman" w:hAnsi="Times New Roman"/>
          <w:sz w:val="24"/>
          <w:szCs w:val="24"/>
        </w:rPr>
      </w:pPr>
    </w:p>
    <w:p w14:paraId="116B1F91" w14:textId="0D15D4B8" w:rsidR="00850260" w:rsidRPr="00AC72BF" w:rsidRDefault="00850260" w:rsidP="003672BA">
      <w:pPr>
        <w:widowControl w:val="0"/>
        <w:autoSpaceDE w:val="0"/>
        <w:autoSpaceDN w:val="0"/>
        <w:adjustRightInd w:val="0"/>
        <w:ind w:right="93"/>
        <w:rPr>
          <w:rFonts w:ascii="Times New Roman" w:hAnsi="Times New Roman"/>
          <w:sz w:val="24"/>
          <w:szCs w:val="24"/>
        </w:rPr>
      </w:pPr>
      <w:r w:rsidRPr="00AC72BF">
        <w:rPr>
          <w:rFonts w:ascii="Times New Roman" w:hAnsi="Times New Roman"/>
          <w:sz w:val="24"/>
          <w:szCs w:val="24"/>
        </w:rPr>
        <w:t xml:space="preserve">Joerg W. Bartsch, PhD, Professor, Philipps University, Marburg, Germany, </w:t>
      </w:r>
      <w:r w:rsidR="00CD4CEE" w:rsidRPr="00AC72BF">
        <w:rPr>
          <w:rFonts w:ascii="Times New Roman" w:hAnsi="Times New Roman"/>
          <w:sz w:val="24"/>
          <w:szCs w:val="24"/>
        </w:rPr>
        <w:t>WoS</w:t>
      </w:r>
      <w:r w:rsidRPr="00AC72BF">
        <w:rPr>
          <w:rFonts w:ascii="Times New Roman" w:hAnsi="Times New Roman"/>
          <w:sz w:val="24"/>
          <w:szCs w:val="24"/>
        </w:rPr>
        <w:t xml:space="preserve"> </w:t>
      </w:r>
      <w:r w:rsidR="004F44C2">
        <w:rPr>
          <w:rFonts w:ascii="Times New Roman" w:hAnsi="Times New Roman"/>
          <w:sz w:val="24"/>
          <w:szCs w:val="24"/>
        </w:rPr>
        <w:t>H-index</w:t>
      </w:r>
      <w:r w:rsidRPr="00AC72BF">
        <w:rPr>
          <w:rFonts w:ascii="Times New Roman" w:hAnsi="Times New Roman"/>
          <w:sz w:val="24"/>
          <w:szCs w:val="24"/>
        </w:rPr>
        <w:t xml:space="preserve"> 30, i10-Index 46, citations 2896</w:t>
      </w:r>
    </w:p>
    <w:p w14:paraId="11D13437" w14:textId="198E4E4B" w:rsidR="00CD4CEE" w:rsidRPr="00AC72BF" w:rsidRDefault="00CD4CEE" w:rsidP="003672BA">
      <w:pPr>
        <w:ind w:right="93"/>
        <w:jc w:val="both"/>
        <w:rPr>
          <w:rFonts w:ascii="Times New Roman" w:hAnsi="Times New Roman"/>
          <w:sz w:val="24"/>
          <w:szCs w:val="24"/>
          <w:lang w:val="en-GB"/>
        </w:rPr>
      </w:pPr>
      <w:r w:rsidRPr="00AC72BF">
        <w:rPr>
          <w:rFonts w:ascii="Times New Roman" w:hAnsi="Times New Roman"/>
          <w:sz w:val="24"/>
          <w:szCs w:val="24"/>
          <w:lang w:val="en-GB"/>
        </w:rPr>
        <w:t xml:space="preserve">Anthony Bleyer, MD, Professor, Wake Forest School of Medicine, Winston-Salem, NC, US WoS H index 33, Google scholar </w:t>
      </w:r>
      <w:r w:rsidR="004F44C2">
        <w:rPr>
          <w:rFonts w:ascii="Times New Roman" w:hAnsi="Times New Roman"/>
          <w:sz w:val="24"/>
          <w:szCs w:val="24"/>
          <w:lang w:val="en-GB"/>
        </w:rPr>
        <w:t>H-index</w:t>
      </w:r>
      <w:r w:rsidRPr="00AC72BF">
        <w:rPr>
          <w:rFonts w:ascii="Times New Roman" w:hAnsi="Times New Roman"/>
          <w:sz w:val="24"/>
          <w:szCs w:val="24"/>
          <w:lang w:val="en-GB"/>
        </w:rPr>
        <w:t xml:space="preserve"> 53, i10-Index 108, citations 5,633</w:t>
      </w:r>
    </w:p>
    <w:p w14:paraId="4AE092C5" w14:textId="035E569C" w:rsidR="00CD4CEE" w:rsidRPr="00AC72BF" w:rsidRDefault="00AD2C72" w:rsidP="003672BA">
      <w:pPr>
        <w:ind w:right="93"/>
        <w:jc w:val="both"/>
        <w:rPr>
          <w:rFonts w:ascii="Times New Roman" w:hAnsi="Times New Roman"/>
          <w:sz w:val="24"/>
          <w:szCs w:val="24"/>
          <w:lang w:val="en-GB"/>
        </w:rPr>
      </w:pPr>
      <w:r>
        <w:rPr>
          <w:rFonts w:ascii="Times New Roman" w:hAnsi="Times New Roman"/>
          <w:sz w:val="24"/>
          <w:szCs w:val="24"/>
          <w:lang w:val="en-GB"/>
        </w:rPr>
        <w:t>Bobak Ma</w:t>
      </w:r>
      <w:r w:rsidR="00CD4CEE" w:rsidRPr="00AC72BF">
        <w:rPr>
          <w:rFonts w:ascii="Times New Roman" w:hAnsi="Times New Roman"/>
          <w:sz w:val="24"/>
          <w:szCs w:val="24"/>
          <w:lang w:val="en-GB"/>
        </w:rPr>
        <w:t>rtin</w:t>
      </w:r>
      <w:r w:rsidR="00535555">
        <w:rPr>
          <w:rFonts w:ascii="Times New Roman" w:hAnsi="Times New Roman"/>
          <w:sz w:val="24"/>
          <w:szCs w:val="24"/>
          <w:lang w:val="en-GB"/>
        </w:rPr>
        <w:t xml:space="preserve">, </w:t>
      </w:r>
      <w:r w:rsidR="003E3CD3">
        <w:rPr>
          <w:rFonts w:ascii="Times New Roman" w:hAnsi="Times New Roman"/>
          <w:sz w:val="24"/>
          <w:szCs w:val="24"/>
          <w:lang w:val="en-GB"/>
        </w:rPr>
        <w:t xml:space="preserve">Professor, </w:t>
      </w:r>
      <w:r w:rsidR="00535555" w:rsidRPr="00093A7D">
        <w:rPr>
          <w:rFonts w:ascii="Times New Roman" w:eastAsia="Times New Roman" w:hAnsi="Times New Roman"/>
          <w:color w:val="000000"/>
          <w:sz w:val="24"/>
          <w:szCs w:val="24"/>
          <w:lang w:val="en-GB"/>
        </w:rPr>
        <w:t>University College London (UCL)</w:t>
      </w:r>
      <w:r w:rsidR="00535555">
        <w:rPr>
          <w:rFonts w:ascii="Times New Roman" w:eastAsia="Times New Roman" w:hAnsi="Times New Roman"/>
          <w:color w:val="000000"/>
          <w:sz w:val="24"/>
          <w:szCs w:val="24"/>
          <w:lang w:val="en-GB"/>
        </w:rPr>
        <w:t xml:space="preserve">, London UK,  WoS </w:t>
      </w:r>
      <w:r w:rsidR="004F44C2">
        <w:rPr>
          <w:rFonts w:ascii="Times New Roman" w:eastAsia="Times New Roman" w:hAnsi="Times New Roman"/>
          <w:color w:val="000000"/>
          <w:sz w:val="24"/>
          <w:szCs w:val="24"/>
          <w:lang w:val="en-GB"/>
        </w:rPr>
        <w:t>H-index</w:t>
      </w:r>
      <w:r w:rsidR="00535555">
        <w:rPr>
          <w:rFonts w:ascii="Times New Roman" w:eastAsia="Times New Roman" w:hAnsi="Times New Roman"/>
          <w:color w:val="000000"/>
          <w:sz w:val="24"/>
          <w:szCs w:val="24"/>
          <w:lang w:val="en-GB"/>
        </w:rPr>
        <w:t xml:space="preserve"> 53</w:t>
      </w:r>
    </w:p>
    <w:p w14:paraId="77992ED2" w14:textId="552D5D76" w:rsidR="00850260" w:rsidRPr="00AC72BF" w:rsidRDefault="00DF5CEF" w:rsidP="003672BA">
      <w:pPr>
        <w:spacing w:after="0" w:line="240" w:lineRule="auto"/>
        <w:ind w:right="93"/>
        <w:rPr>
          <w:rFonts w:ascii="Times New Roman" w:hAnsi="Times New Roman"/>
          <w:color w:val="000000"/>
          <w:sz w:val="24"/>
          <w:szCs w:val="24"/>
          <w:lang w:val="en-GB"/>
        </w:rPr>
      </w:pPr>
      <w:r>
        <w:rPr>
          <w:rFonts w:ascii="Times New Roman" w:hAnsi="Times New Roman"/>
          <w:color w:val="000000"/>
          <w:sz w:val="24"/>
          <w:szCs w:val="24"/>
          <w:lang w:val="en-GB"/>
        </w:rPr>
        <w:t>Dela Flemming, PhD,</w:t>
      </w:r>
      <w:r w:rsidR="00CD4CEE" w:rsidRPr="00AC72BF">
        <w:rPr>
          <w:rFonts w:ascii="Times New Roman" w:hAnsi="Times New Roman"/>
          <w:color w:val="000000"/>
          <w:sz w:val="24"/>
          <w:szCs w:val="24"/>
          <w:lang w:val="en-GB"/>
        </w:rPr>
        <w:t xml:space="preserve"> </w:t>
      </w:r>
      <w:r w:rsidR="00CD4CEE" w:rsidRPr="00AC72BF">
        <w:rPr>
          <w:rFonts w:ascii="Times New Roman" w:hAnsi="Times New Roman"/>
          <w:color w:val="000000"/>
          <w:sz w:val="24"/>
          <w:szCs w:val="24"/>
        </w:rPr>
        <w:t>Professor, University of Copenhagen, Denmark</w:t>
      </w:r>
      <w:r w:rsidR="00CD4CEE" w:rsidRPr="00AC72BF">
        <w:rPr>
          <w:rFonts w:ascii="Times New Roman" w:hAnsi="Times New Roman"/>
          <w:color w:val="000000"/>
          <w:sz w:val="24"/>
          <w:szCs w:val="24"/>
          <w:lang w:val="en-GB"/>
        </w:rPr>
        <w:t xml:space="preserve">, WoS </w:t>
      </w:r>
      <w:r w:rsidR="004F44C2">
        <w:rPr>
          <w:rFonts w:ascii="Times New Roman" w:hAnsi="Times New Roman"/>
          <w:color w:val="000000"/>
          <w:sz w:val="24"/>
          <w:szCs w:val="24"/>
          <w:lang w:val="en-GB"/>
        </w:rPr>
        <w:t>H-index</w:t>
      </w:r>
      <w:r w:rsidR="00CD4CEE" w:rsidRPr="00AC72BF">
        <w:rPr>
          <w:rFonts w:ascii="Times New Roman" w:hAnsi="Times New Roman"/>
          <w:color w:val="000000"/>
          <w:sz w:val="24"/>
          <w:szCs w:val="24"/>
          <w:lang w:val="en-GB"/>
        </w:rPr>
        <w:t>: 57, Citations: 12506</w:t>
      </w:r>
    </w:p>
    <w:p w14:paraId="69FE58FA" w14:textId="77777777" w:rsidR="00CD4CEE" w:rsidRPr="00AC72BF" w:rsidRDefault="00CD4CEE" w:rsidP="003672BA">
      <w:pPr>
        <w:spacing w:after="0" w:line="240" w:lineRule="auto"/>
        <w:ind w:right="93"/>
        <w:rPr>
          <w:rFonts w:ascii="Times New Roman" w:hAnsi="Times New Roman"/>
          <w:color w:val="000000"/>
          <w:sz w:val="24"/>
          <w:szCs w:val="24"/>
          <w:lang w:val="en-GB"/>
        </w:rPr>
      </w:pPr>
    </w:p>
    <w:p w14:paraId="1ED792D2" w14:textId="220690C5" w:rsidR="00CD4CEE" w:rsidRPr="00AC72BF" w:rsidRDefault="00CD4CEE" w:rsidP="003672BA">
      <w:pPr>
        <w:widowControl w:val="0"/>
        <w:autoSpaceDE w:val="0"/>
        <w:autoSpaceDN w:val="0"/>
        <w:adjustRightInd w:val="0"/>
        <w:ind w:right="93"/>
        <w:rPr>
          <w:rFonts w:ascii="Times New Roman" w:hAnsi="Times New Roman"/>
          <w:sz w:val="24"/>
          <w:szCs w:val="24"/>
        </w:rPr>
      </w:pPr>
      <w:r w:rsidRPr="00E93C7A">
        <w:rPr>
          <w:rFonts w:ascii="Times New Roman" w:hAnsi="Times New Roman"/>
          <w:b/>
          <w:sz w:val="24"/>
          <w:szCs w:val="24"/>
        </w:rPr>
        <w:t>Jiri Dvorak, PhD, Professor,</w:t>
      </w:r>
      <w:r w:rsidR="003E3CD3" w:rsidRPr="00E93C7A">
        <w:rPr>
          <w:rFonts w:ascii="Times New Roman" w:hAnsi="Times New Roman"/>
          <w:b/>
          <w:sz w:val="24"/>
          <w:szCs w:val="24"/>
        </w:rPr>
        <w:t xml:space="preserve"> </w:t>
      </w:r>
      <w:r w:rsidRPr="00E93C7A">
        <w:rPr>
          <w:rFonts w:ascii="Times New Roman" w:hAnsi="Times New Roman"/>
          <w:b/>
          <w:sz w:val="24"/>
          <w:szCs w:val="24"/>
        </w:rPr>
        <w:t>Chair</w:t>
      </w:r>
      <w:r w:rsidRPr="00AC72BF">
        <w:rPr>
          <w:rFonts w:ascii="Times New Roman" w:hAnsi="Times New Roman"/>
          <w:sz w:val="24"/>
          <w:szCs w:val="24"/>
        </w:rPr>
        <w:t xml:space="preserve">, </w:t>
      </w:r>
      <w:r w:rsidR="00E93C7A">
        <w:rPr>
          <w:rFonts w:ascii="Times New Roman" w:hAnsi="Times New Roman"/>
          <w:sz w:val="24"/>
          <w:szCs w:val="24"/>
        </w:rPr>
        <w:t>Schulthess Clinic</w:t>
      </w:r>
      <w:r w:rsidR="00E93C7A" w:rsidRPr="00AC72BF">
        <w:rPr>
          <w:rFonts w:ascii="Times New Roman" w:hAnsi="Times New Roman"/>
          <w:sz w:val="24"/>
          <w:szCs w:val="24"/>
        </w:rPr>
        <w:t xml:space="preserve"> </w:t>
      </w:r>
      <w:r w:rsidR="00E93C7A">
        <w:rPr>
          <w:rFonts w:ascii="Times New Roman" w:hAnsi="Times New Roman"/>
          <w:sz w:val="24"/>
          <w:szCs w:val="24"/>
        </w:rPr>
        <w:t xml:space="preserve">and </w:t>
      </w:r>
      <w:r w:rsidRPr="00AC72BF">
        <w:rPr>
          <w:rFonts w:ascii="Times New Roman" w:hAnsi="Times New Roman"/>
          <w:sz w:val="24"/>
          <w:szCs w:val="24"/>
        </w:rPr>
        <w:t>University of Zurich</w:t>
      </w:r>
      <w:r w:rsidR="00E93C7A">
        <w:rPr>
          <w:rFonts w:ascii="Times New Roman" w:hAnsi="Times New Roman"/>
          <w:sz w:val="24"/>
          <w:szCs w:val="24"/>
        </w:rPr>
        <w:t>,</w:t>
      </w:r>
      <w:r w:rsidRPr="00AC72BF">
        <w:rPr>
          <w:rFonts w:ascii="Times New Roman" w:hAnsi="Times New Roman"/>
          <w:sz w:val="24"/>
          <w:szCs w:val="24"/>
        </w:rPr>
        <w:t xml:space="preserve"> Switzerland</w:t>
      </w:r>
      <w:r w:rsidR="00193F43" w:rsidRPr="00AC72BF">
        <w:rPr>
          <w:rFonts w:ascii="Times New Roman" w:hAnsi="Times New Roman"/>
          <w:sz w:val="24"/>
          <w:szCs w:val="24"/>
        </w:rPr>
        <w:t xml:space="preserve">, </w:t>
      </w:r>
      <w:r w:rsidRPr="00AC72BF">
        <w:rPr>
          <w:rFonts w:ascii="Times New Roman" w:hAnsi="Times New Roman"/>
          <w:sz w:val="24"/>
          <w:szCs w:val="24"/>
        </w:rPr>
        <w:t xml:space="preserve">WoS </w:t>
      </w:r>
      <w:r w:rsidR="004F44C2">
        <w:rPr>
          <w:rFonts w:ascii="Times New Roman" w:hAnsi="Times New Roman"/>
          <w:sz w:val="24"/>
          <w:szCs w:val="24"/>
        </w:rPr>
        <w:t>H-index</w:t>
      </w:r>
      <w:r w:rsidRPr="00AC72BF">
        <w:rPr>
          <w:rFonts w:ascii="Times New Roman" w:hAnsi="Times New Roman"/>
          <w:sz w:val="24"/>
          <w:szCs w:val="24"/>
        </w:rPr>
        <w:t xml:space="preserve"> 74, Google scholar </w:t>
      </w:r>
      <w:r w:rsidR="004F44C2">
        <w:rPr>
          <w:rFonts w:ascii="Times New Roman" w:hAnsi="Times New Roman"/>
          <w:sz w:val="24"/>
          <w:szCs w:val="24"/>
        </w:rPr>
        <w:t>H-index</w:t>
      </w:r>
      <w:r w:rsidRPr="00AC72BF">
        <w:rPr>
          <w:rFonts w:ascii="Times New Roman" w:hAnsi="Times New Roman"/>
          <w:sz w:val="24"/>
          <w:szCs w:val="24"/>
        </w:rPr>
        <w:t xml:space="preserve"> 113, i10-Index 372, citations 48321</w:t>
      </w:r>
    </w:p>
    <w:p w14:paraId="39DA8C6A" w14:textId="3700B271" w:rsidR="00CD4CEE" w:rsidRPr="00AC72BF" w:rsidRDefault="00CD4CEE" w:rsidP="003672BA">
      <w:pPr>
        <w:widowControl w:val="0"/>
        <w:autoSpaceDE w:val="0"/>
        <w:autoSpaceDN w:val="0"/>
        <w:adjustRightInd w:val="0"/>
        <w:ind w:right="93"/>
        <w:rPr>
          <w:rFonts w:ascii="Times New Roman" w:hAnsi="Times New Roman"/>
          <w:sz w:val="24"/>
          <w:szCs w:val="24"/>
        </w:rPr>
      </w:pPr>
      <w:r w:rsidRPr="00AC72BF">
        <w:rPr>
          <w:rFonts w:ascii="Times New Roman" w:hAnsi="Times New Roman"/>
          <w:sz w:val="24"/>
          <w:szCs w:val="24"/>
        </w:rPr>
        <w:t xml:space="preserve">Danijel Kikelj, PhD, Professor </w:t>
      </w:r>
      <w:r w:rsidRPr="00AC72BF">
        <w:rPr>
          <w:rFonts w:ascii="Times New Roman" w:hAnsi="Times New Roman"/>
          <w:color w:val="444444"/>
          <w:sz w:val="24"/>
          <w:szCs w:val="24"/>
        </w:rPr>
        <w:t>University of Ljubljana</w:t>
      </w:r>
      <w:r w:rsidRPr="00AC72BF">
        <w:rPr>
          <w:rFonts w:ascii="Times New Roman" w:hAnsi="Times New Roman"/>
          <w:sz w:val="24"/>
          <w:szCs w:val="24"/>
        </w:rPr>
        <w:t xml:space="preserve">, Slovenia, WoS </w:t>
      </w:r>
      <w:r w:rsidR="004F44C2">
        <w:rPr>
          <w:rFonts w:ascii="Times New Roman" w:hAnsi="Times New Roman"/>
          <w:sz w:val="24"/>
          <w:szCs w:val="24"/>
        </w:rPr>
        <w:t>H-index</w:t>
      </w:r>
      <w:r w:rsidRPr="00AC72BF">
        <w:rPr>
          <w:rFonts w:ascii="Times New Roman" w:hAnsi="Times New Roman"/>
          <w:sz w:val="24"/>
          <w:szCs w:val="24"/>
        </w:rPr>
        <w:t xml:space="preserve"> 24, Google </w:t>
      </w:r>
      <w:r w:rsidR="0019165E">
        <w:rPr>
          <w:rFonts w:ascii="Times New Roman" w:hAnsi="Times New Roman"/>
          <w:sz w:val="24"/>
          <w:szCs w:val="24"/>
        </w:rPr>
        <w:t xml:space="preserve">scholar </w:t>
      </w:r>
      <w:r w:rsidR="004F44C2">
        <w:rPr>
          <w:rFonts w:ascii="Times New Roman" w:hAnsi="Times New Roman"/>
          <w:sz w:val="24"/>
          <w:szCs w:val="24"/>
        </w:rPr>
        <w:t>H-index</w:t>
      </w:r>
      <w:r w:rsidR="0019165E">
        <w:rPr>
          <w:rFonts w:ascii="Times New Roman" w:hAnsi="Times New Roman"/>
          <w:sz w:val="24"/>
          <w:szCs w:val="24"/>
        </w:rPr>
        <w:t xml:space="preserve"> 28, i10-Index 85</w:t>
      </w:r>
      <w:r w:rsidRPr="00AC72BF">
        <w:rPr>
          <w:rFonts w:ascii="Times New Roman" w:hAnsi="Times New Roman"/>
          <w:sz w:val="24"/>
          <w:szCs w:val="24"/>
        </w:rPr>
        <w:t xml:space="preserve">, citations </w:t>
      </w:r>
      <w:r w:rsidR="0019165E">
        <w:rPr>
          <w:rFonts w:ascii="Times New Roman" w:hAnsi="Times New Roman"/>
          <w:sz w:val="24"/>
          <w:szCs w:val="24"/>
        </w:rPr>
        <w:t>2911</w:t>
      </w:r>
    </w:p>
    <w:p w14:paraId="09225B6D" w14:textId="30CA610F" w:rsidR="00132ED7" w:rsidRPr="00AC72BF" w:rsidRDefault="00132ED7" w:rsidP="00132ED7">
      <w:pPr>
        <w:rPr>
          <w:rFonts w:ascii="Times New Roman" w:hAnsi="Times New Roman"/>
          <w:bCs/>
          <w:sz w:val="24"/>
          <w:szCs w:val="24"/>
        </w:rPr>
      </w:pPr>
      <w:r w:rsidRPr="00AC72BF">
        <w:rPr>
          <w:rFonts w:ascii="Times New Roman" w:hAnsi="Times New Roman"/>
          <w:bCs/>
          <w:sz w:val="24"/>
          <w:szCs w:val="24"/>
        </w:rPr>
        <w:t xml:space="preserve">Vladimir Kratky, BSc, MD, FRCSC, DABO, </w:t>
      </w:r>
      <w:r>
        <w:rPr>
          <w:rFonts w:ascii="Times New Roman" w:hAnsi="Times New Roman"/>
          <w:bCs/>
          <w:sz w:val="24"/>
          <w:szCs w:val="24"/>
        </w:rPr>
        <w:t xml:space="preserve">Associate Professor, </w:t>
      </w:r>
      <w:r w:rsidRPr="00AC72BF">
        <w:rPr>
          <w:rFonts w:ascii="Times New Roman" w:hAnsi="Times New Roman"/>
          <w:bCs/>
          <w:sz w:val="24"/>
          <w:szCs w:val="24"/>
        </w:rPr>
        <w:t>Queen’s University, Kingston, Canada</w:t>
      </w:r>
      <w:r>
        <w:rPr>
          <w:rFonts w:ascii="Times New Roman" w:hAnsi="Times New Roman"/>
          <w:bCs/>
          <w:sz w:val="24"/>
          <w:szCs w:val="24"/>
        </w:rPr>
        <w:t xml:space="preserve">; Google scholar </w:t>
      </w:r>
      <w:r w:rsidR="004F44C2">
        <w:rPr>
          <w:rFonts w:ascii="Times New Roman" w:hAnsi="Times New Roman"/>
          <w:bCs/>
          <w:sz w:val="24"/>
          <w:szCs w:val="24"/>
        </w:rPr>
        <w:t>H-index</w:t>
      </w:r>
      <w:r>
        <w:rPr>
          <w:rFonts w:ascii="Times New Roman" w:hAnsi="Times New Roman"/>
          <w:bCs/>
          <w:sz w:val="24"/>
          <w:szCs w:val="24"/>
        </w:rPr>
        <w:t xml:space="preserve"> 12, citations 433</w:t>
      </w:r>
    </w:p>
    <w:p w14:paraId="01C62C70" w14:textId="5B937CF3" w:rsidR="00CD4CEE" w:rsidRPr="00AC72BF" w:rsidRDefault="00CD4CEE" w:rsidP="003672BA">
      <w:pPr>
        <w:ind w:right="93"/>
        <w:rPr>
          <w:rFonts w:ascii="Times New Roman" w:hAnsi="Times New Roman"/>
          <w:bCs/>
          <w:sz w:val="24"/>
          <w:szCs w:val="24"/>
        </w:rPr>
      </w:pPr>
      <w:r w:rsidRPr="00AC72BF">
        <w:rPr>
          <w:rFonts w:ascii="Times New Roman" w:hAnsi="Times New Roman"/>
          <w:sz w:val="24"/>
          <w:szCs w:val="24"/>
        </w:rPr>
        <w:t>Zdravlo Lackovic, MD, PhD (DrSc), Professor, University of Zagreb, Croatia</w:t>
      </w:r>
    </w:p>
    <w:p w14:paraId="3136FD1D" w14:textId="49B7AF6C" w:rsidR="00CD4CEE" w:rsidRPr="00AC72BF" w:rsidRDefault="00CD4CEE" w:rsidP="003672BA">
      <w:pPr>
        <w:pStyle w:val="Zkladntext"/>
        <w:spacing w:before="120"/>
        <w:ind w:right="93"/>
        <w:rPr>
          <w:rFonts w:ascii="Times New Roman" w:hAnsi="Times New Roman" w:cs="Times New Roman"/>
        </w:rPr>
      </w:pPr>
      <w:r w:rsidRPr="00AC72BF">
        <w:rPr>
          <w:rFonts w:ascii="Times New Roman" w:hAnsi="Times New Roman" w:cs="Times New Roman"/>
        </w:rPr>
        <w:t>Lüscher Thomas, MD, FRCP, FESC, Professor, Imperial College in London</w:t>
      </w:r>
      <w:r w:rsidR="00E93C7A">
        <w:rPr>
          <w:rFonts w:ascii="Times New Roman" w:hAnsi="Times New Roman" w:cs="Times New Roman"/>
        </w:rPr>
        <w:t xml:space="preserve"> and </w:t>
      </w:r>
      <w:r w:rsidRPr="00AC72BF">
        <w:rPr>
          <w:rFonts w:ascii="Times New Roman" w:hAnsi="Times New Roman" w:cs="Times New Roman"/>
        </w:rPr>
        <w:t>Univ</w:t>
      </w:r>
      <w:r w:rsidR="00193F43" w:rsidRPr="00AC72BF">
        <w:rPr>
          <w:rFonts w:ascii="Times New Roman" w:hAnsi="Times New Roman" w:cs="Times New Roman"/>
        </w:rPr>
        <w:t xml:space="preserve">ersity of Zurich, Switzertland, Google scholar </w:t>
      </w:r>
      <w:r w:rsidR="004F44C2">
        <w:rPr>
          <w:rFonts w:ascii="Times New Roman" w:hAnsi="Times New Roman" w:cs="Times New Roman"/>
        </w:rPr>
        <w:t>H-index</w:t>
      </w:r>
      <w:r w:rsidR="00193F43" w:rsidRPr="00AC72BF">
        <w:rPr>
          <w:rFonts w:ascii="Times New Roman" w:hAnsi="Times New Roman" w:cs="Times New Roman"/>
        </w:rPr>
        <w:t xml:space="preserve"> 128,</w:t>
      </w:r>
    </w:p>
    <w:p w14:paraId="3D137D9E" w14:textId="77777777" w:rsidR="00193F43" w:rsidRPr="00AC72BF" w:rsidRDefault="00193F43" w:rsidP="003672BA">
      <w:pPr>
        <w:pStyle w:val="Zkladntext"/>
        <w:spacing w:before="120"/>
        <w:ind w:left="116" w:right="93"/>
        <w:rPr>
          <w:rFonts w:ascii="Times New Roman" w:hAnsi="Times New Roman" w:cs="Times New Roman"/>
        </w:rPr>
      </w:pPr>
    </w:p>
    <w:p w14:paraId="56A2B83B" w14:textId="4240A3E9" w:rsidR="003E3CD3" w:rsidRPr="003E3CD3" w:rsidRDefault="00193F43" w:rsidP="003672BA">
      <w:pPr>
        <w:ind w:right="93"/>
        <w:rPr>
          <w:rFonts w:ascii="Helvetica Neue" w:eastAsia="Times New Roman" w:hAnsi="Helvetica Neue"/>
          <w:color w:val="000000"/>
          <w:sz w:val="24"/>
          <w:szCs w:val="24"/>
          <w:lang w:val="en-GB"/>
        </w:rPr>
      </w:pPr>
      <w:r w:rsidRPr="00CE03BC">
        <w:rPr>
          <w:rFonts w:ascii="Times New Roman" w:hAnsi="Times New Roman"/>
          <w:sz w:val="24"/>
          <w:szCs w:val="24"/>
        </w:rPr>
        <w:t xml:space="preserve">Misfeld Marin, Professor, </w:t>
      </w:r>
      <w:r w:rsidR="00831D59" w:rsidRPr="00CE03BC">
        <w:rPr>
          <w:rFonts w:ascii="Times New Roman" w:eastAsia="Times New Roman" w:hAnsi="Times New Roman"/>
          <w:color w:val="000000"/>
          <w:sz w:val="24"/>
          <w:szCs w:val="24"/>
          <w:lang w:val="en-GB"/>
        </w:rPr>
        <w:t>University Clinic of Cardiac Surgery, Leipzig Heart Center, Leipzig, Germany</w:t>
      </w:r>
      <w:r w:rsidR="00831D59" w:rsidRPr="00CE03BC">
        <w:rPr>
          <w:rFonts w:ascii="Helvetica Neue" w:eastAsia="Times New Roman" w:hAnsi="Helvetica Neue"/>
          <w:color w:val="000000"/>
          <w:sz w:val="24"/>
          <w:szCs w:val="24"/>
          <w:lang w:val="en-GB"/>
        </w:rPr>
        <w:t xml:space="preserve"> </w:t>
      </w:r>
      <w:r w:rsidR="00DF5CEF">
        <w:rPr>
          <w:rFonts w:ascii="Times New Roman" w:eastAsia="Times New Roman" w:hAnsi="Times New Roman"/>
          <w:color w:val="000000"/>
          <w:sz w:val="24"/>
          <w:szCs w:val="24"/>
          <w:lang w:val="en-GB"/>
        </w:rPr>
        <w:t>andDepartment of</w:t>
      </w:r>
      <w:r w:rsidR="00831D59" w:rsidRPr="00CE03BC">
        <w:rPr>
          <w:rFonts w:ascii="Times New Roman" w:eastAsia="Times New Roman" w:hAnsi="Times New Roman"/>
          <w:color w:val="000000"/>
          <w:sz w:val="24"/>
          <w:szCs w:val="24"/>
          <w:lang w:val="en-GB"/>
        </w:rPr>
        <w:t xml:space="preserve"> Cardiothoracic Surgery, Royal Prince Alfred Hospital, Sydney, Australia, </w:t>
      </w:r>
      <w:r w:rsidR="004F44C2">
        <w:rPr>
          <w:rFonts w:ascii="Times New Roman" w:hAnsi="Times New Roman"/>
          <w:sz w:val="24"/>
          <w:szCs w:val="24"/>
        </w:rPr>
        <w:t>H-index</w:t>
      </w:r>
      <w:r w:rsidRPr="00CE03BC">
        <w:rPr>
          <w:rFonts w:ascii="Times New Roman" w:hAnsi="Times New Roman"/>
          <w:sz w:val="24"/>
          <w:szCs w:val="24"/>
        </w:rPr>
        <w:t xml:space="preserve"> 41, Citations 5697</w:t>
      </w:r>
    </w:p>
    <w:p w14:paraId="2CDA1C2D" w14:textId="44DD09CB" w:rsidR="00193F43" w:rsidRPr="00AC72BF" w:rsidRDefault="00193F43" w:rsidP="003672BA">
      <w:pPr>
        <w:pStyle w:val="Zkladntext"/>
        <w:ind w:right="93"/>
        <w:jc w:val="both"/>
        <w:rPr>
          <w:rFonts w:ascii="Times New Roman" w:hAnsi="Times New Roman" w:cs="Times New Roman"/>
          <w:color w:val="000000" w:themeColor="text1"/>
        </w:rPr>
      </w:pPr>
      <w:r w:rsidRPr="00AC72BF">
        <w:rPr>
          <w:rFonts w:ascii="Times New Roman" w:hAnsi="Times New Roman" w:cs="Times New Roman"/>
          <w:color w:val="000000" w:themeColor="text1"/>
        </w:rPr>
        <w:t xml:space="preserve">Anthony Moorman, BSc, MSc, PhD, Professor, University of Newcastle, GB, Google scholar </w:t>
      </w:r>
      <w:r w:rsidR="004F44C2">
        <w:rPr>
          <w:rFonts w:ascii="Times New Roman" w:hAnsi="Times New Roman" w:cs="Times New Roman"/>
          <w:color w:val="000000" w:themeColor="text1"/>
        </w:rPr>
        <w:t>H-index</w:t>
      </w:r>
      <w:r w:rsidRPr="00AC72BF">
        <w:rPr>
          <w:rFonts w:ascii="Times New Roman" w:hAnsi="Times New Roman" w:cs="Times New Roman"/>
          <w:color w:val="000000" w:themeColor="text1"/>
        </w:rPr>
        <w:t xml:space="preserve"> 63, Citations 14748</w:t>
      </w:r>
    </w:p>
    <w:p w14:paraId="1D9835E7" w14:textId="77777777" w:rsidR="00193F43" w:rsidRPr="00AC72BF" w:rsidRDefault="00193F43" w:rsidP="003672BA">
      <w:pPr>
        <w:pStyle w:val="Zkladntext"/>
        <w:ind w:left="116" w:right="93"/>
        <w:jc w:val="both"/>
        <w:rPr>
          <w:rFonts w:ascii="Times New Roman" w:hAnsi="Times New Roman" w:cs="Times New Roman"/>
          <w:color w:val="000000" w:themeColor="text1"/>
        </w:rPr>
      </w:pPr>
    </w:p>
    <w:p w14:paraId="743E1D2F" w14:textId="6ECD9D04" w:rsidR="00831D59" w:rsidRDefault="00831D59" w:rsidP="003672BA">
      <w:pPr>
        <w:spacing w:line="253" w:lineRule="atLeast"/>
        <w:ind w:right="93"/>
        <w:jc w:val="both"/>
        <w:rPr>
          <w:rFonts w:ascii="Times New Roman" w:hAnsi="Times New Roman"/>
          <w:color w:val="000000"/>
          <w:sz w:val="24"/>
          <w:szCs w:val="24"/>
          <w:lang w:val="en-GB"/>
        </w:rPr>
      </w:pPr>
      <w:r w:rsidRPr="00831D59">
        <w:rPr>
          <w:rFonts w:ascii="Times New Roman" w:hAnsi="Times New Roman"/>
          <w:color w:val="000000"/>
          <w:sz w:val="24"/>
          <w:szCs w:val="24"/>
          <w:lang w:val="en-GB"/>
        </w:rPr>
        <w:t xml:space="preserve">Jan Pecenak, MD, PhD, Professor of Psychiatry, Faculty of Medicine, Comenius University Bratislava, WOS </w:t>
      </w:r>
      <w:r w:rsidR="004F44C2">
        <w:rPr>
          <w:rFonts w:ascii="Times New Roman" w:hAnsi="Times New Roman"/>
          <w:color w:val="000000"/>
          <w:sz w:val="24"/>
          <w:szCs w:val="24"/>
          <w:lang w:val="en-GB"/>
        </w:rPr>
        <w:t>H-index</w:t>
      </w:r>
      <w:r w:rsidRPr="00831D59">
        <w:rPr>
          <w:rFonts w:ascii="Times New Roman" w:hAnsi="Times New Roman"/>
          <w:color w:val="000000"/>
          <w:sz w:val="24"/>
          <w:szCs w:val="24"/>
          <w:lang w:val="en-GB"/>
        </w:rPr>
        <w:t xml:space="preserve"> 10, citations 441</w:t>
      </w:r>
    </w:p>
    <w:p w14:paraId="1045D4CD" w14:textId="77777777" w:rsidR="003E3CD3" w:rsidRDefault="003E3CD3" w:rsidP="003672BA">
      <w:pPr>
        <w:spacing w:line="253" w:lineRule="atLeast"/>
        <w:ind w:right="93"/>
        <w:jc w:val="both"/>
        <w:rPr>
          <w:rFonts w:ascii="Times New Roman" w:hAnsi="Times New Roman"/>
          <w:color w:val="000000"/>
          <w:sz w:val="24"/>
          <w:szCs w:val="24"/>
          <w:lang w:val="en-GB"/>
        </w:rPr>
      </w:pPr>
    </w:p>
    <w:p w14:paraId="6201744B" w14:textId="6CD74772" w:rsidR="003E3CD3" w:rsidRDefault="003E3CD3"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Methodology:</w:t>
      </w:r>
    </w:p>
    <w:p w14:paraId="76CAB8BF" w14:textId="77777777" w:rsidR="00A30C89" w:rsidRDefault="00A30C89" w:rsidP="003672BA">
      <w:pPr>
        <w:spacing w:line="253" w:lineRule="atLeast"/>
        <w:ind w:right="93"/>
        <w:jc w:val="both"/>
        <w:rPr>
          <w:rFonts w:ascii="Times New Roman" w:hAnsi="Times New Roman"/>
          <w:color w:val="000000"/>
          <w:sz w:val="24"/>
          <w:szCs w:val="24"/>
          <w:lang w:val="en-GB"/>
        </w:rPr>
      </w:pPr>
    </w:p>
    <w:p w14:paraId="5A1E60F6" w14:textId="15E85635" w:rsidR="00A30C89" w:rsidRDefault="00A30C89"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The panel members received following documents:</w:t>
      </w:r>
    </w:p>
    <w:p w14:paraId="2BA5E253" w14:textId="601ADBC0"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sidRPr="00A30C89">
        <w:rPr>
          <w:rFonts w:ascii="Times New Roman" w:hAnsi="Times New Roman"/>
          <w:color w:val="000000"/>
          <w:sz w:val="24"/>
          <w:szCs w:val="24"/>
          <w:lang w:val="en-GB"/>
        </w:rPr>
        <w:t xml:space="preserve">Bibliometric </w:t>
      </w:r>
      <w:r w:rsidR="00857AEF">
        <w:rPr>
          <w:rFonts w:ascii="Times New Roman" w:hAnsi="Times New Roman"/>
          <w:color w:val="000000"/>
          <w:sz w:val="24"/>
          <w:szCs w:val="24"/>
          <w:lang w:val="en-GB"/>
        </w:rPr>
        <w:t>S</w:t>
      </w:r>
      <w:r w:rsidRPr="00A30C89">
        <w:rPr>
          <w:rFonts w:ascii="Times New Roman" w:hAnsi="Times New Roman"/>
          <w:color w:val="000000"/>
          <w:sz w:val="24"/>
          <w:szCs w:val="24"/>
          <w:lang w:val="en-GB"/>
        </w:rPr>
        <w:t xml:space="preserve">upport for Evaluation of </w:t>
      </w:r>
      <w:r w:rsidR="00857AEF">
        <w:rPr>
          <w:rFonts w:ascii="Times New Roman" w:hAnsi="Times New Roman"/>
          <w:color w:val="000000"/>
          <w:sz w:val="24"/>
          <w:szCs w:val="24"/>
          <w:lang w:val="en-GB"/>
        </w:rPr>
        <w:t>R</w:t>
      </w:r>
      <w:r w:rsidRPr="00A30C89">
        <w:rPr>
          <w:rFonts w:ascii="Times New Roman" w:hAnsi="Times New Roman"/>
          <w:color w:val="000000"/>
          <w:sz w:val="24"/>
          <w:szCs w:val="24"/>
          <w:lang w:val="en-GB"/>
        </w:rPr>
        <w:t xml:space="preserve">esearch at </w:t>
      </w:r>
      <w:r>
        <w:rPr>
          <w:rFonts w:ascii="Times New Roman" w:hAnsi="Times New Roman"/>
          <w:color w:val="000000"/>
          <w:sz w:val="24"/>
          <w:szCs w:val="24"/>
          <w:lang w:val="en-GB"/>
        </w:rPr>
        <w:t>Charles University 2014-2018</w:t>
      </w:r>
    </w:p>
    <w:p w14:paraId="5E98CEC2" w14:textId="3DA3B4DC"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 xml:space="preserve">93 selected </w:t>
      </w:r>
      <w:r w:rsidR="002D716A">
        <w:rPr>
          <w:rFonts w:ascii="Times New Roman" w:hAnsi="Times New Roman"/>
          <w:color w:val="000000"/>
          <w:sz w:val="24"/>
          <w:szCs w:val="24"/>
          <w:lang w:val="en-GB"/>
        </w:rPr>
        <w:t>o</w:t>
      </w:r>
      <w:r>
        <w:rPr>
          <w:rFonts w:ascii="Times New Roman" w:hAnsi="Times New Roman"/>
          <w:color w:val="000000"/>
          <w:sz w:val="24"/>
          <w:szCs w:val="24"/>
          <w:lang w:val="en-GB"/>
        </w:rPr>
        <w:t xml:space="preserve">utputs </w:t>
      </w:r>
      <w:r w:rsidR="002D716A">
        <w:rPr>
          <w:rFonts w:ascii="Times New Roman" w:hAnsi="Times New Roman"/>
          <w:color w:val="000000"/>
          <w:sz w:val="24"/>
          <w:szCs w:val="24"/>
          <w:lang w:val="en-GB"/>
        </w:rPr>
        <w:t>provided by</w:t>
      </w:r>
      <w:r>
        <w:rPr>
          <w:rFonts w:ascii="Times New Roman" w:hAnsi="Times New Roman"/>
          <w:color w:val="000000"/>
          <w:sz w:val="24"/>
          <w:szCs w:val="24"/>
          <w:lang w:val="en-GB"/>
        </w:rPr>
        <w:t xml:space="preserve"> the individual medical faculties </w:t>
      </w:r>
    </w:p>
    <w:p w14:paraId="6EC6C338" w14:textId="62683F4B"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Web of Science auxillary comparative reports fo</w:t>
      </w:r>
      <w:r w:rsidR="003672BA">
        <w:rPr>
          <w:rFonts w:ascii="Times New Roman" w:hAnsi="Times New Roman"/>
          <w:color w:val="000000"/>
          <w:sz w:val="24"/>
          <w:szCs w:val="24"/>
          <w:lang w:val="en-GB"/>
        </w:rPr>
        <w:t>r</w:t>
      </w:r>
      <w:r>
        <w:rPr>
          <w:rFonts w:ascii="Times New Roman" w:hAnsi="Times New Roman"/>
          <w:color w:val="000000"/>
          <w:sz w:val="24"/>
          <w:szCs w:val="24"/>
          <w:lang w:val="en-GB"/>
        </w:rPr>
        <w:t xml:space="preserve"> medical subfields</w:t>
      </w:r>
    </w:p>
    <w:p w14:paraId="7F5C2EF5" w14:textId="39BBDD6C"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List of all publications / outputs during the evaluation period</w:t>
      </w:r>
    </w:p>
    <w:p w14:paraId="0E8259CE" w14:textId="33BD984C"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Self</w:t>
      </w:r>
      <w:r w:rsidR="002D716A">
        <w:rPr>
          <w:rFonts w:ascii="Times New Roman" w:hAnsi="Times New Roman"/>
          <w:color w:val="000000"/>
          <w:sz w:val="24"/>
          <w:szCs w:val="24"/>
          <w:lang w:val="en-GB"/>
        </w:rPr>
        <w:t>-</w:t>
      </w:r>
      <w:r>
        <w:rPr>
          <w:rFonts w:ascii="Times New Roman" w:hAnsi="Times New Roman"/>
          <w:color w:val="000000"/>
          <w:sz w:val="24"/>
          <w:szCs w:val="24"/>
          <w:lang w:val="en-GB"/>
        </w:rPr>
        <w:t xml:space="preserve">evaluation of the faculties prepared for the </w:t>
      </w:r>
      <w:r w:rsidR="002D716A">
        <w:rPr>
          <w:rFonts w:ascii="Times New Roman" w:hAnsi="Times New Roman"/>
          <w:color w:val="000000"/>
          <w:sz w:val="24"/>
          <w:szCs w:val="24"/>
          <w:lang w:val="en-GB"/>
        </w:rPr>
        <w:t>R</w:t>
      </w:r>
      <w:r>
        <w:rPr>
          <w:rFonts w:ascii="Times New Roman" w:hAnsi="Times New Roman"/>
          <w:color w:val="000000"/>
          <w:sz w:val="24"/>
          <w:szCs w:val="24"/>
          <w:lang w:val="en-GB"/>
        </w:rPr>
        <w:t>ectorat</w:t>
      </w:r>
      <w:r w:rsidR="002D716A">
        <w:rPr>
          <w:rFonts w:ascii="Times New Roman" w:hAnsi="Times New Roman"/>
          <w:color w:val="000000"/>
          <w:sz w:val="24"/>
          <w:szCs w:val="24"/>
          <w:lang w:val="en-GB"/>
        </w:rPr>
        <w:t>e</w:t>
      </w:r>
    </w:p>
    <w:p w14:paraId="772A4ACD" w14:textId="0B887BE5" w:rsidR="00A30C89" w:rsidRDefault="00A30C89" w:rsidP="003672BA">
      <w:pPr>
        <w:pStyle w:val="Odstavecseseznamem"/>
        <w:numPr>
          <w:ilvl w:val="0"/>
          <w:numId w:val="4"/>
        </w:num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Self</w:t>
      </w:r>
      <w:r w:rsidR="002D716A">
        <w:rPr>
          <w:rFonts w:ascii="Times New Roman" w:hAnsi="Times New Roman"/>
          <w:color w:val="000000"/>
          <w:sz w:val="24"/>
          <w:szCs w:val="24"/>
          <w:lang w:val="en-GB"/>
        </w:rPr>
        <w:t>-</w:t>
      </w:r>
      <w:r>
        <w:rPr>
          <w:rFonts w:ascii="Times New Roman" w:hAnsi="Times New Roman"/>
          <w:color w:val="000000"/>
          <w:sz w:val="24"/>
          <w:szCs w:val="24"/>
          <w:lang w:val="en-GB"/>
        </w:rPr>
        <w:t>evaluation of the faculties prepared for the Ministry of Education</w:t>
      </w:r>
    </w:p>
    <w:p w14:paraId="18EE541F" w14:textId="77777777" w:rsidR="00EF4144" w:rsidRDefault="00EF4144" w:rsidP="00EF4144">
      <w:pPr>
        <w:pStyle w:val="Odstavecseseznamem"/>
        <w:spacing w:line="253" w:lineRule="atLeast"/>
        <w:ind w:right="93"/>
        <w:jc w:val="both"/>
        <w:rPr>
          <w:rFonts w:ascii="Times New Roman" w:hAnsi="Times New Roman"/>
          <w:color w:val="000000"/>
          <w:sz w:val="24"/>
          <w:szCs w:val="24"/>
          <w:lang w:val="en-GB"/>
        </w:rPr>
      </w:pPr>
    </w:p>
    <w:p w14:paraId="701BC44E" w14:textId="77777777" w:rsidR="00A30C89" w:rsidRDefault="00A30C89" w:rsidP="003672BA">
      <w:pPr>
        <w:pStyle w:val="Odstavecseseznamem"/>
        <w:spacing w:line="253" w:lineRule="atLeast"/>
        <w:ind w:right="93"/>
        <w:jc w:val="both"/>
        <w:rPr>
          <w:rFonts w:ascii="Times New Roman" w:hAnsi="Times New Roman"/>
          <w:color w:val="000000"/>
          <w:sz w:val="24"/>
          <w:szCs w:val="24"/>
          <w:lang w:val="en-GB"/>
        </w:rPr>
      </w:pPr>
    </w:p>
    <w:p w14:paraId="7446DADF" w14:textId="77777777" w:rsidR="00A30C89" w:rsidRDefault="00A30C89" w:rsidP="003672BA">
      <w:pPr>
        <w:pStyle w:val="Odstavecseseznamem"/>
        <w:spacing w:line="253" w:lineRule="atLeast"/>
        <w:ind w:right="93"/>
        <w:jc w:val="both"/>
        <w:rPr>
          <w:rFonts w:ascii="Times New Roman" w:hAnsi="Times New Roman"/>
          <w:color w:val="000000"/>
          <w:sz w:val="24"/>
          <w:szCs w:val="24"/>
          <w:lang w:val="en-GB"/>
        </w:rPr>
      </w:pPr>
    </w:p>
    <w:p w14:paraId="5D4784A3" w14:textId="326ACE1E" w:rsidR="00A30C89" w:rsidRDefault="00A30C89"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 xml:space="preserve">The panel </w:t>
      </w:r>
      <w:r w:rsidR="002D716A">
        <w:rPr>
          <w:rFonts w:ascii="Times New Roman" w:hAnsi="Times New Roman"/>
          <w:color w:val="000000"/>
          <w:sz w:val="24"/>
          <w:szCs w:val="24"/>
          <w:lang w:val="en-GB"/>
        </w:rPr>
        <w:t xml:space="preserve">participated in </w:t>
      </w:r>
      <w:r>
        <w:rPr>
          <w:rFonts w:ascii="Times New Roman" w:hAnsi="Times New Roman"/>
          <w:color w:val="000000"/>
          <w:sz w:val="24"/>
          <w:szCs w:val="24"/>
          <w:lang w:val="en-GB"/>
        </w:rPr>
        <w:t>several ZOOM</w:t>
      </w:r>
      <w:r w:rsidR="002D5D61">
        <w:rPr>
          <w:rFonts w:ascii="Times New Roman" w:hAnsi="Times New Roman"/>
          <w:color w:val="000000"/>
          <w:sz w:val="24"/>
          <w:szCs w:val="24"/>
          <w:lang w:val="en-GB"/>
        </w:rPr>
        <w:t xml:space="preserve"> </w:t>
      </w:r>
      <w:r>
        <w:rPr>
          <w:rFonts w:ascii="Times New Roman" w:hAnsi="Times New Roman"/>
          <w:color w:val="000000"/>
          <w:sz w:val="24"/>
          <w:szCs w:val="24"/>
          <w:lang w:val="en-GB"/>
        </w:rPr>
        <w:t>meetings</w:t>
      </w:r>
      <w:r w:rsidR="002D5D61">
        <w:rPr>
          <w:rFonts w:ascii="Times New Roman" w:hAnsi="Times New Roman"/>
          <w:color w:val="000000"/>
          <w:sz w:val="24"/>
          <w:szCs w:val="24"/>
          <w:lang w:val="en-GB"/>
        </w:rPr>
        <w:t xml:space="preserve"> </w:t>
      </w:r>
      <w:r w:rsidR="002D716A">
        <w:rPr>
          <w:rFonts w:ascii="Times New Roman" w:hAnsi="Times New Roman"/>
          <w:color w:val="000000"/>
          <w:sz w:val="24"/>
          <w:szCs w:val="24"/>
          <w:lang w:val="en-GB"/>
        </w:rPr>
        <w:t>from</w:t>
      </w:r>
      <w:r w:rsidR="002D5D61">
        <w:rPr>
          <w:rFonts w:ascii="Times New Roman" w:hAnsi="Times New Roman"/>
          <w:color w:val="000000"/>
          <w:sz w:val="24"/>
          <w:szCs w:val="24"/>
          <w:lang w:val="en-GB"/>
        </w:rPr>
        <w:t xml:space="preserve"> November 2019 to July 2020 </w:t>
      </w:r>
      <w:r>
        <w:rPr>
          <w:rFonts w:ascii="Times New Roman" w:hAnsi="Times New Roman"/>
          <w:color w:val="000000"/>
          <w:sz w:val="24"/>
          <w:szCs w:val="24"/>
          <w:lang w:val="en-GB"/>
        </w:rPr>
        <w:t xml:space="preserve"> to develop the method of assessment</w:t>
      </w:r>
      <w:r w:rsidR="002D5D61">
        <w:rPr>
          <w:rFonts w:ascii="Times New Roman" w:hAnsi="Times New Roman"/>
          <w:color w:val="000000"/>
          <w:sz w:val="24"/>
          <w:szCs w:val="24"/>
          <w:lang w:val="en-GB"/>
        </w:rPr>
        <w:t xml:space="preserve"> of the outputs and</w:t>
      </w:r>
      <w:r>
        <w:rPr>
          <w:rFonts w:ascii="Times New Roman" w:hAnsi="Times New Roman"/>
          <w:color w:val="000000"/>
          <w:sz w:val="24"/>
          <w:szCs w:val="24"/>
          <w:lang w:val="en-GB"/>
        </w:rPr>
        <w:t xml:space="preserve"> the rating</w:t>
      </w:r>
      <w:r w:rsidR="002D5D61">
        <w:rPr>
          <w:rFonts w:ascii="Times New Roman" w:hAnsi="Times New Roman"/>
          <w:color w:val="000000"/>
          <w:sz w:val="24"/>
          <w:szCs w:val="24"/>
          <w:lang w:val="en-GB"/>
        </w:rPr>
        <w:t>s</w:t>
      </w:r>
      <w:r>
        <w:rPr>
          <w:rFonts w:ascii="Times New Roman" w:hAnsi="Times New Roman"/>
          <w:color w:val="000000"/>
          <w:sz w:val="24"/>
          <w:szCs w:val="24"/>
          <w:lang w:val="en-GB"/>
        </w:rPr>
        <w:t xml:space="preserve"> for comparison</w:t>
      </w:r>
      <w:r w:rsidR="002D5D61">
        <w:rPr>
          <w:rFonts w:ascii="Times New Roman" w:hAnsi="Times New Roman"/>
          <w:color w:val="000000"/>
          <w:sz w:val="24"/>
          <w:szCs w:val="24"/>
          <w:lang w:val="en-GB"/>
        </w:rPr>
        <w:t xml:space="preserve"> with</w:t>
      </w:r>
      <w:r>
        <w:rPr>
          <w:rFonts w:ascii="Times New Roman" w:hAnsi="Times New Roman"/>
          <w:color w:val="000000"/>
          <w:sz w:val="24"/>
          <w:szCs w:val="24"/>
          <w:lang w:val="en-GB"/>
        </w:rPr>
        <w:t xml:space="preserve"> benchmark </w:t>
      </w:r>
      <w:r w:rsidR="002D716A">
        <w:rPr>
          <w:rFonts w:ascii="Times New Roman" w:hAnsi="Times New Roman"/>
          <w:color w:val="000000"/>
          <w:sz w:val="24"/>
          <w:szCs w:val="24"/>
          <w:lang w:val="en-GB"/>
        </w:rPr>
        <w:t>u</w:t>
      </w:r>
      <w:r>
        <w:rPr>
          <w:rFonts w:ascii="Times New Roman" w:hAnsi="Times New Roman"/>
          <w:color w:val="000000"/>
          <w:sz w:val="24"/>
          <w:szCs w:val="24"/>
          <w:lang w:val="en-GB"/>
        </w:rPr>
        <w:t>niversities.</w:t>
      </w:r>
      <w:r w:rsidR="003672BA">
        <w:rPr>
          <w:rFonts w:ascii="Times New Roman" w:hAnsi="Times New Roman"/>
          <w:color w:val="000000"/>
          <w:sz w:val="24"/>
          <w:szCs w:val="24"/>
          <w:lang w:val="en-GB"/>
        </w:rPr>
        <w:t xml:space="preserve"> On </w:t>
      </w:r>
      <w:r w:rsidR="002D716A">
        <w:rPr>
          <w:rFonts w:ascii="Times New Roman" w:hAnsi="Times New Roman"/>
          <w:color w:val="000000"/>
          <w:sz w:val="24"/>
          <w:szCs w:val="24"/>
          <w:lang w:val="en-GB"/>
        </w:rPr>
        <w:t>June 24, 2020</w:t>
      </w:r>
      <w:r w:rsidR="003672BA">
        <w:rPr>
          <w:rFonts w:ascii="Times New Roman" w:hAnsi="Times New Roman"/>
          <w:color w:val="000000"/>
          <w:sz w:val="24"/>
          <w:szCs w:val="24"/>
          <w:lang w:val="en-GB"/>
        </w:rPr>
        <w:t xml:space="preserve"> a ZOOM meeting with the Deans and Vice-Deans of the medical faculties </w:t>
      </w:r>
      <w:r w:rsidR="002D716A">
        <w:rPr>
          <w:rFonts w:ascii="Times New Roman" w:hAnsi="Times New Roman"/>
          <w:color w:val="000000"/>
          <w:sz w:val="24"/>
          <w:szCs w:val="24"/>
          <w:lang w:val="en-GB"/>
        </w:rPr>
        <w:t>was held to</w:t>
      </w:r>
      <w:r w:rsidR="003672BA">
        <w:rPr>
          <w:rFonts w:ascii="Times New Roman" w:hAnsi="Times New Roman"/>
          <w:color w:val="000000"/>
          <w:sz w:val="24"/>
          <w:szCs w:val="24"/>
          <w:lang w:val="en-GB"/>
        </w:rPr>
        <w:t xml:space="preserve"> answer additional questions </w:t>
      </w:r>
      <w:r w:rsidR="002D716A">
        <w:rPr>
          <w:rFonts w:ascii="Times New Roman" w:hAnsi="Times New Roman"/>
          <w:color w:val="000000"/>
          <w:sz w:val="24"/>
          <w:szCs w:val="24"/>
          <w:lang w:val="en-GB"/>
        </w:rPr>
        <w:t>from the panel,</w:t>
      </w:r>
    </w:p>
    <w:p w14:paraId="1D98017C" w14:textId="5D009312" w:rsidR="00A30C89" w:rsidRDefault="002D716A" w:rsidP="003672BA">
      <w:pPr>
        <w:spacing w:line="253" w:lineRule="atLeast"/>
        <w:ind w:right="93"/>
        <w:jc w:val="both"/>
        <w:rPr>
          <w:rFonts w:ascii="Times New Roman" w:hAnsi="Times New Roman"/>
          <w:color w:val="000000"/>
          <w:sz w:val="24"/>
          <w:szCs w:val="24"/>
          <w:lang w:val="en-GB"/>
        </w:rPr>
      </w:pPr>
      <w:r>
        <w:rPr>
          <w:rFonts w:ascii="Times New Roman" w:hAnsi="Times New Roman"/>
          <w:color w:val="000000"/>
          <w:sz w:val="24"/>
          <w:szCs w:val="24"/>
          <w:lang w:val="en-GB"/>
        </w:rPr>
        <w:t>According to their individual expertise, panel members were assigned to assess</w:t>
      </w:r>
      <w:r w:rsidR="00A30C89">
        <w:rPr>
          <w:rFonts w:ascii="Times New Roman" w:hAnsi="Times New Roman"/>
          <w:color w:val="000000"/>
          <w:sz w:val="24"/>
          <w:szCs w:val="24"/>
          <w:lang w:val="en-GB"/>
        </w:rPr>
        <w:t xml:space="preserve"> in depth the output of </w:t>
      </w:r>
      <w:r>
        <w:rPr>
          <w:rFonts w:ascii="Times New Roman" w:hAnsi="Times New Roman"/>
          <w:color w:val="000000"/>
          <w:sz w:val="24"/>
          <w:szCs w:val="24"/>
          <w:lang w:val="en-GB"/>
        </w:rPr>
        <w:t>previously identified</w:t>
      </w:r>
      <w:r w:rsidR="00A30C89">
        <w:rPr>
          <w:rFonts w:ascii="Times New Roman" w:hAnsi="Times New Roman"/>
          <w:color w:val="000000"/>
          <w:sz w:val="24"/>
          <w:szCs w:val="24"/>
          <w:lang w:val="en-GB"/>
        </w:rPr>
        <w:t xml:space="preserve"> “</w:t>
      </w:r>
      <w:r>
        <w:rPr>
          <w:rFonts w:ascii="Times New Roman" w:hAnsi="Times New Roman"/>
          <w:color w:val="000000"/>
          <w:sz w:val="24"/>
          <w:szCs w:val="24"/>
          <w:lang w:val="en-GB"/>
        </w:rPr>
        <w:t>f</w:t>
      </w:r>
      <w:r w:rsidR="00A30C89">
        <w:rPr>
          <w:rFonts w:ascii="Times New Roman" w:hAnsi="Times New Roman"/>
          <w:color w:val="000000"/>
          <w:sz w:val="24"/>
          <w:szCs w:val="24"/>
          <w:lang w:val="en-GB"/>
        </w:rPr>
        <w:t xml:space="preserve">lagships” of the CUNI </w:t>
      </w:r>
      <w:r>
        <w:rPr>
          <w:rFonts w:ascii="Times New Roman" w:hAnsi="Times New Roman"/>
          <w:color w:val="000000"/>
          <w:sz w:val="24"/>
          <w:szCs w:val="24"/>
          <w:lang w:val="en-GB"/>
        </w:rPr>
        <w:t>m</w:t>
      </w:r>
      <w:r w:rsidR="00A30C89">
        <w:rPr>
          <w:rFonts w:ascii="Times New Roman" w:hAnsi="Times New Roman"/>
          <w:color w:val="000000"/>
          <w:sz w:val="24"/>
          <w:szCs w:val="24"/>
          <w:lang w:val="en-GB"/>
        </w:rPr>
        <w:t>edical faculties.</w:t>
      </w:r>
      <w:r w:rsidR="003672BA">
        <w:rPr>
          <w:rFonts w:ascii="Times New Roman" w:hAnsi="Times New Roman"/>
          <w:color w:val="000000"/>
          <w:sz w:val="24"/>
          <w:szCs w:val="24"/>
          <w:lang w:val="en-GB"/>
        </w:rPr>
        <w:t xml:space="preserve"> </w:t>
      </w:r>
      <w:r>
        <w:rPr>
          <w:rFonts w:ascii="Times New Roman" w:hAnsi="Times New Roman"/>
          <w:color w:val="000000"/>
          <w:sz w:val="24"/>
          <w:szCs w:val="24"/>
          <w:lang w:val="en-GB"/>
        </w:rPr>
        <w:t>Due to the Covid-19 pandemic, site visits were not performed, resulting in some limitation.</w:t>
      </w:r>
    </w:p>
    <w:p w14:paraId="27789352" w14:textId="77777777" w:rsidR="00883590" w:rsidRPr="00A30C89" w:rsidRDefault="00883590" w:rsidP="003672BA">
      <w:pPr>
        <w:spacing w:line="253" w:lineRule="atLeast"/>
        <w:ind w:right="93"/>
        <w:jc w:val="both"/>
        <w:rPr>
          <w:rFonts w:ascii="Times New Roman" w:hAnsi="Times New Roman"/>
          <w:color w:val="000000"/>
          <w:sz w:val="24"/>
          <w:szCs w:val="24"/>
          <w:lang w:val="en-GB"/>
        </w:rPr>
      </w:pPr>
    </w:p>
    <w:p w14:paraId="092AF6BE" w14:textId="77777777" w:rsidR="00883590" w:rsidRPr="002D5FC7" w:rsidRDefault="00883590" w:rsidP="00883590">
      <w:pPr>
        <w:rPr>
          <w:rFonts w:ascii="Times New Roman" w:hAnsi="Times New Roman"/>
          <w:b/>
          <w:sz w:val="32"/>
          <w:szCs w:val="32"/>
        </w:rPr>
      </w:pPr>
      <w:r w:rsidRPr="002D5FC7">
        <w:rPr>
          <w:rFonts w:ascii="Times New Roman" w:hAnsi="Times New Roman"/>
          <w:b/>
          <w:sz w:val="32"/>
          <w:szCs w:val="32"/>
        </w:rPr>
        <w:lastRenderedPageBreak/>
        <w:t>Executive Summary</w:t>
      </w:r>
    </w:p>
    <w:p w14:paraId="50488601" w14:textId="77777777" w:rsidR="00883590" w:rsidRDefault="00883590" w:rsidP="00883590">
      <w:pPr>
        <w:pStyle w:val="Odstavecseseznamem"/>
        <w:widowControl w:val="0"/>
        <w:spacing w:after="0"/>
        <w:ind w:left="360"/>
        <w:jc w:val="both"/>
        <w:rPr>
          <w:rFonts w:ascii="Times New Roman" w:hAnsi="Times New Roman"/>
          <w:sz w:val="24"/>
          <w:szCs w:val="24"/>
        </w:rPr>
      </w:pPr>
      <w:r w:rsidRPr="00AC72BF">
        <w:rPr>
          <w:rFonts w:ascii="Times New Roman" w:hAnsi="Times New Roman"/>
          <w:sz w:val="24"/>
          <w:szCs w:val="24"/>
        </w:rPr>
        <w:t>The Czech Republic</w:t>
      </w:r>
      <w:r>
        <w:rPr>
          <w:rFonts w:ascii="Times New Roman" w:hAnsi="Times New Roman"/>
          <w:sz w:val="24"/>
          <w:szCs w:val="24"/>
        </w:rPr>
        <w:t xml:space="preserve"> has eight medical faculties to care for its</w:t>
      </w:r>
      <w:r w:rsidRPr="00AC72BF">
        <w:rPr>
          <w:rFonts w:ascii="Times New Roman" w:hAnsi="Times New Roman"/>
          <w:sz w:val="24"/>
          <w:szCs w:val="24"/>
        </w:rPr>
        <w:t xml:space="preserve"> 10.5 million inhabitants</w:t>
      </w:r>
      <w:r>
        <w:rPr>
          <w:rFonts w:ascii="Times New Roman" w:hAnsi="Times New Roman"/>
          <w:sz w:val="24"/>
          <w:szCs w:val="24"/>
        </w:rPr>
        <w:t>, with five of them belonging to</w:t>
      </w:r>
      <w:r w:rsidRPr="00AC72BF">
        <w:rPr>
          <w:rFonts w:ascii="Times New Roman" w:hAnsi="Times New Roman"/>
          <w:sz w:val="24"/>
          <w:szCs w:val="24"/>
        </w:rPr>
        <w:t xml:space="preserve"> Charles University.</w:t>
      </w:r>
      <w:r>
        <w:rPr>
          <w:rFonts w:ascii="Times New Roman" w:hAnsi="Times New Roman"/>
          <w:sz w:val="24"/>
          <w:szCs w:val="24"/>
        </w:rPr>
        <w:t xml:space="preserve"> Of 2 pharmaceutical faculties in the Czech Republic, one belongs to the Charles University and is located in Hradec Kralove.</w:t>
      </w:r>
      <w:r w:rsidRPr="00AC72BF">
        <w:rPr>
          <w:rFonts w:ascii="Times New Roman" w:hAnsi="Times New Roman"/>
          <w:sz w:val="24"/>
          <w:szCs w:val="24"/>
        </w:rPr>
        <w:t xml:space="preserve"> Three of the medical faculties of Charles University are located in Prague, while one is located in Pilsen, a middle-sized city in the south west of the capital and another </w:t>
      </w:r>
      <w:r>
        <w:rPr>
          <w:rFonts w:ascii="Times New Roman" w:hAnsi="Times New Roman"/>
          <w:sz w:val="24"/>
          <w:szCs w:val="24"/>
        </w:rPr>
        <w:t xml:space="preserve">is located in </w:t>
      </w:r>
      <w:r w:rsidRPr="00AC72BF">
        <w:rPr>
          <w:rFonts w:ascii="Times New Roman" w:hAnsi="Times New Roman"/>
          <w:sz w:val="24"/>
          <w:szCs w:val="24"/>
        </w:rPr>
        <w:t xml:space="preserve"> Hradec Kralové</w:t>
      </w:r>
      <w:r>
        <w:rPr>
          <w:rFonts w:ascii="Times New Roman" w:hAnsi="Times New Roman"/>
          <w:sz w:val="24"/>
          <w:szCs w:val="24"/>
        </w:rPr>
        <w:t>, which is to</w:t>
      </w:r>
      <w:r w:rsidRPr="00AC72BF">
        <w:rPr>
          <w:rFonts w:ascii="Times New Roman" w:hAnsi="Times New Roman"/>
          <w:sz w:val="24"/>
          <w:szCs w:val="24"/>
        </w:rPr>
        <w:t xml:space="preserve"> the east of Prague. This organisation is unusual in Europe</w:t>
      </w:r>
      <w:r>
        <w:rPr>
          <w:rFonts w:ascii="Times New Roman" w:hAnsi="Times New Roman"/>
          <w:sz w:val="24"/>
          <w:szCs w:val="24"/>
        </w:rPr>
        <w:t xml:space="preserve"> and</w:t>
      </w:r>
      <w:r w:rsidRPr="00AC72BF">
        <w:rPr>
          <w:rFonts w:ascii="Times New Roman" w:hAnsi="Times New Roman"/>
          <w:sz w:val="24"/>
          <w:szCs w:val="24"/>
        </w:rPr>
        <w:t xml:space="preserve"> provides opportunities for multicentre studies</w:t>
      </w:r>
      <w:r>
        <w:rPr>
          <w:rFonts w:ascii="Times New Roman" w:hAnsi="Times New Roman"/>
          <w:sz w:val="24"/>
          <w:szCs w:val="24"/>
        </w:rPr>
        <w:t>,</w:t>
      </w:r>
      <w:r w:rsidRPr="00AC72BF">
        <w:rPr>
          <w:rFonts w:ascii="Times New Roman" w:hAnsi="Times New Roman"/>
          <w:sz w:val="24"/>
          <w:szCs w:val="24"/>
        </w:rPr>
        <w:t xml:space="preserve"> as reflected by the successful Prague Trials.</w:t>
      </w:r>
    </w:p>
    <w:p w14:paraId="0949A9EF" w14:textId="77777777" w:rsidR="00883590" w:rsidRDefault="00883590" w:rsidP="00883590">
      <w:pPr>
        <w:pStyle w:val="Odstavecseseznamem"/>
        <w:widowControl w:val="0"/>
        <w:spacing w:after="0"/>
        <w:ind w:left="360"/>
        <w:jc w:val="both"/>
        <w:rPr>
          <w:rFonts w:ascii="Times New Roman" w:hAnsi="Times New Roman"/>
          <w:sz w:val="24"/>
          <w:szCs w:val="24"/>
        </w:rPr>
      </w:pPr>
    </w:p>
    <w:p w14:paraId="6A08F9EF" w14:textId="77777777" w:rsidR="00883590" w:rsidRPr="00587F53" w:rsidRDefault="00883590" w:rsidP="00883590">
      <w:pPr>
        <w:pStyle w:val="Odstavecseseznamem"/>
        <w:widowControl w:val="0"/>
        <w:spacing w:after="0"/>
        <w:ind w:left="360"/>
        <w:jc w:val="both"/>
        <w:rPr>
          <w:rFonts w:ascii="Times New Roman" w:hAnsi="Times New Roman"/>
          <w:b/>
          <w:bCs/>
          <w:sz w:val="24"/>
          <w:szCs w:val="24"/>
        </w:rPr>
      </w:pPr>
      <w:r w:rsidRPr="00587F53">
        <w:rPr>
          <w:rFonts w:ascii="Times New Roman" w:hAnsi="Times New Roman"/>
          <w:sz w:val="24"/>
          <w:szCs w:val="24"/>
        </w:rPr>
        <w:t xml:space="preserve">Although some research teams collaborate with European and even American centers and may apply for European funding, national funding </w:t>
      </w:r>
      <w:r>
        <w:rPr>
          <w:rFonts w:ascii="Times New Roman" w:hAnsi="Times New Roman"/>
          <w:sz w:val="24"/>
          <w:szCs w:val="24"/>
        </w:rPr>
        <w:t>is</w:t>
      </w:r>
      <w:r w:rsidRPr="00587F53">
        <w:rPr>
          <w:rFonts w:ascii="Times New Roman" w:hAnsi="Times New Roman"/>
          <w:sz w:val="24"/>
          <w:szCs w:val="24"/>
        </w:rPr>
        <w:t xml:space="preserve"> suboptimal</w:t>
      </w:r>
      <w:r>
        <w:rPr>
          <w:rFonts w:ascii="Times New Roman" w:hAnsi="Times New Roman"/>
          <w:sz w:val="24"/>
          <w:szCs w:val="24"/>
        </w:rPr>
        <w:t xml:space="preserve"> andsignificantly below</w:t>
      </w:r>
      <w:r w:rsidRPr="00587F53">
        <w:rPr>
          <w:rFonts w:ascii="Times New Roman" w:hAnsi="Times New Roman"/>
          <w:sz w:val="24"/>
          <w:szCs w:val="24"/>
        </w:rPr>
        <w:t xml:space="preserve"> benchmark institutions in Europe</w:t>
      </w:r>
      <w:r>
        <w:rPr>
          <w:rFonts w:ascii="Times New Roman" w:hAnsi="Times New Roman"/>
          <w:sz w:val="24"/>
          <w:szCs w:val="24"/>
        </w:rPr>
        <w:t>. Increases in funding</w:t>
      </w:r>
      <w:r w:rsidRPr="00587F53">
        <w:rPr>
          <w:rFonts w:ascii="Times New Roman" w:hAnsi="Times New Roman"/>
          <w:sz w:val="24"/>
          <w:szCs w:val="24"/>
        </w:rPr>
        <w:t xml:space="preserve"> should be </w:t>
      </w:r>
      <w:r>
        <w:rPr>
          <w:rFonts w:ascii="Times New Roman" w:hAnsi="Times New Roman"/>
          <w:sz w:val="24"/>
          <w:szCs w:val="24"/>
        </w:rPr>
        <w:t xml:space="preserve">seriously considered in the future to help medical research in the Czech republic to remain, and in some cases become, competitive.  </w:t>
      </w:r>
      <w:r w:rsidRPr="00587F53">
        <w:rPr>
          <w:rFonts w:ascii="Times New Roman" w:hAnsi="Times New Roman"/>
          <w:sz w:val="24"/>
          <w:szCs w:val="24"/>
        </w:rPr>
        <w:t xml:space="preserve"> A specific analysis of this issue </w:t>
      </w:r>
      <w:r>
        <w:rPr>
          <w:rFonts w:ascii="Times New Roman" w:hAnsi="Times New Roman"/>
          <w:sz w:val="24"/>
          <w:szCs w:val="24"/>
        </w:rPr>
        <w:t>is mandatory, as funding provides the foundation for research.</w:t>
      </w:r>
    </w:p>
    <w:p w14:paraId="756923EE" w14:textId="77777777" w:rsidR="00883590" w:rsidRPr="00B52CB9" w:rsidRDefault="00883590" w:rsidP="00883590">
      <w:pPr>
        <w:ind w:right="93"/>
        <w:rPr>
          <w:rFonts w:ascii="Times New Roman" w:hAnsi="Times New Roman"/>
          <w:bCs/>
          <w:sz w:val="24"/>
          <w:szCs w:val="24"/>
          <w:lang w:val="en-GB"/>
        </w:rPr>
      </w:pPr>
      <w:r w:rsidRPr="00B52CB9">
        <w:rPr>
          <w:rFonts w:ascii="Times New Roman" w:hAnsi="Times New Roman"/>
          <w:bCs/>
          <w:sz w:val="24"/>
          <w:szCs w:val="24"/>
          <w:lang w:val="en-GB"/>
        </w:rPr>
        <w:t>Overall assessment of publication output was based on bibliometric analysis provided</w:t>
      </w:r>
      <w:r>
        <w:rPr>
          <w:rFonts w:ascii="Times New Roman" w:hAnsi="Times New Roman"/>
          <w:bCs/>
          <w:sz w:val="24"/>
          <w:szCs w:val="24"/>
          <w:lang w:val="en-GB"/>
        </w:rPr>
        <w:t>,</w:t>
      </w:r>
      <w:r w:rsidRPr="00B52CB9">
        <w:rPr>
          <w:rFonts w:ascii="Times New Roman" w:hAnsi="Times New Roman"/>
          <w:bCs/>
          <w:sz w:val="24"/>
          <w:szCs w:val="24"/>
          <w:lang w:val="en-GB"/>
        </w:rPr>
        <w:t xml:space="preserve"> and the panel used quantity/quality index – papers / au</w:t>
      </w:r>
      <w:r>
        <w:rPr>
          <w:rFonts w:ascii="Times New Roman" w:hAnsi="Times New Roman"/>
          <w:bCs/>
          <w:sz w:val="24"/>
          <w:szCs w:val="24"/>
          <w:lang w:val="en-GB"/>
        </w:rPr>
        <w:t>thor / above 50% AIS, papers / a</w:t>
      </w:r>
      <w:r w:rsidRPr="00B52CB9">
        <w:rPr>
          <w:rFonts w:ascii="Times New Roman" w:hAnsi="Times New Roman"/>
          <w:bCs/>
          <w:sz w:val="24"/>
          <w:szCs w:val="24"/>
          <w:lang w:val="en-GB"/>
        </w:rPr>
        <w:t>uthor / below 50% AIS, and Top 10%, P/A.</w:t>
      </w:r>
    </w:p>
    <w:p w14:paraId="5D94670E" w14:textId="621A5CED" w:rsidR="00883590"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Comparing with benchmark Universities the CUNI authors in medical and health sciences publish similar total amount of papers per author, however  they are lower in publications in upper 50%  of Journals AIS, and higher in bottom 50% of AIS Journals</w:t>
      </w:r>
      <w:r w:rsidR="00CB7B57">
        <w:rPr>
          <w:rFonts w:ascii="Times New Roman" w:hAnsi="Times New Roman"/>
          <w:bCs/>
          <w:sz w:val="24"/>
          <w:szCs w:val="24"/>
          <w:lang w:val="en-GB"/>
        </w:rPr>
        <w:t>, many of them publisherd in Czech language</w:t>
      </w:r>
      <w:r w:rsidRPr="00B52CB9">
        <w:rPr>
          <w:rFonts w:ascii="Times New Roman" w:hAnsi="Times New Roman"/>
          <w:bCs/>
          <w:sz w:val="24"/>
          <w:szCs w:val="24"/>
          <w:lang w:val="en-GB"/>
        </w:rPr>
        <w:t>.</w:t>
      </w:r>
      <w:r w:rsidR="00CB7B57">
        <w:rPr>
          <w:rFonts w:ascii="Times New Roman" w:hAnsi="Times New Roman"/>
          <w:bCs/>
          <w:sz w:val="24"/>
          <w:szCs w:val="24"/>
          <w:lang w:val="en-GB"/>
        </w:rPr>
        <w:t xml:space="preserve"> </w:t>
      </w:r>
      <w:r w:rsidRPr="00B52CB9">
        <w:rPr>
          <w:rFonts w:ascii="Times New Roman" w:hAnsi="Times New Roman"/>
          <w:bCs/>
          <w:sz w:val="24"/>
          <w:szCs w:val="24"/>
          <w:lang w:val="en-GB"/>
        </w:rPr>
        <w:t>It could be assumed, that, taking quality of publishing as a measure, the quality is below the European benchmark universities.  724 papers were published in Top 10% of AIS Jounals</w:t>
      </w:r>
      <w:r>
        <w:rPr>
          <w:rFonts w:ascii="Times New Roman" w:hAnsi="Times New Roman"/>
          <w:bCs/>
          <w:sz w:val="24"/>
          <w:szCs w:val="24"/>
          <w:lang w:val="en-GB"/>
        </w:rPr>
        <w:t>.  The publication of</w:t>
      </w:r>
      <w:r w:rsidRPr="00B52CB9">
        <w:rPr>
          <w:rFonts w:ascii="Times New Roman" w:hAnsi="Times New Roman"/>
          <w:bCs/>
          <w:sz w:val="24"/>
          <w:szCs w:val="24"/>
          <w:lang w:val="en-GB"/>
        </w:rPr>
        <w:t xml:space="preserve"> 42 papers</w:t>
      </w:r>
      <w:r w:rsidRPr="00B52CB9">
        <w:rPr>
          <w:rFonts w:ascii="Times New Roman" w:hAnsi="Times New Roman"/>
          <w:bCs/>
          <w:color w:val="FF0000"/>
          <w:sz w:val="24"/>
          <w:szCs w:val="24"/>
          <w:lang w:val="en-GB"/>
        </w:rPr>
        <w:t xml:space="preserve"> </w:t>
      </w:r>
      <w:r w:rsidRPr="00B52CB9">
        <w:rPr>
          <w:rFonts w:ascii="Times New Roman" w:hAnsi="Times New Roman"/>
          <w:bCs/>
          <w:sz w:val="24"/>
          <w:szCs w:val="24"/>
          <w:lang w:val="en-GB"/>
        </w:rPr>
        <w:t xml:space="preserve">in NEJM and Lancet is </w:t>
      </w:r>
      <w:r>
        <w:rPr>
          <w:rFonts w:ascii="Times New Roman" w:hAnsi="Times New Roman"/>
          <w:bCs/>
          <w:sz w:val="24"/>
          <w:szCs w:val="24"/>
          <w:lang w:val="en-GB"/>
        </w:rPr>
        <w:t xml:space="preserve">a </w:t>
      </w:r>
      <w:r w:rsidRPr="00B52CB9">
        <w:rPr>
          <w:rFonts w:ascii="Times New Roman" w:hAnsi="Times New Roman"/>
          <w:bCs/>
          <w:sz w:val="24"/>
          <w:szCs w:val="24"/>
          <w:lang w:val="en-GB"/>
        </w:rPr>
        <w:t>considerable output, even</w:t>
      </w:r>
      <w:r>
        <w:rPr>
          <w:rFonts w:ascii="Times New Roman" w:hAnsi="Times New Roman"/>
          <w:bCs/>
          <w:sz w:val="24"/>
          <w:szCs w:val="24"/>
          <w:lang w:val="en-GB"/>
        </w:rPr>
        <w:t xml:space="preserve"> though</w:t>
      </w:r>
      <w:r w:rsidRPr="00B52CB9">
        <w:rPr>
          <w:rFonts w:ascii="Times New Roman" w:hAnsi="Times New Roman"/>
          <w:bCs/>
          <w:sz w:val="24"/>
          <w:szCs w:val="24"/>
          <w:lang w:val="en-GB"/>
        </w:rPr>
        <w:t xml:space="preserve"> statisticaly only half of the papers published by benchmark Universities</w:t>
      </w:r>
      <w:r>
        <w:rPr>
          <w:rFonts w:ascii="Times New Roman" w:hAnsi="Times New Roman"/>
          <w:bCs/>
          <w:sz w:val="24"/>
          <w:szCs w:val="24"/>
          <w:lang w:val="en-GB"/>
        </w:rPr>
        <w:t>. This does indicate</w:t>
      </w:r>
      <w:r w:rsidRPr="00B52CB9">
        <w:rPr>
          <w:rFonts w:ascii="Times New Roman" w:hAnsi="Times New Roman"/>
          <w:bCs/>
          <w:sz w:val="24"/>
          <w:szCs w:val="24"/>
          <w:lang w:val="en-GB"/>
        </w:rPr>
        <w:t xml:space="preserve"> participation in </w:t>
      </w:r>
      <w:r>
        <w:rPr>
          <w:rFonts w:ascii="Times New Roman" w:hAnsi="Times New Roman"/>
          <w:bCs/>
          <w:sz w:val="24"/>
          <w:szCs w:val="24"/>
          <w:lang w:val="en-GB"/>
        </w:rPr>
        <w:t xml:space="preserve">highly important, </w:t>
      </w:r>
      <w:r w:rsidRPr="00B52CB9">
        <w:rPr>
          <w:rFonts w:ascii="Times New Roman" w:hAnsi="Times New Roman"/>
          <w:bCs/>
          <w:sz w:val="24"/>
          <w:szCs w:val="24"/>
          <w:lang w:val="en-GB"/>
        </w:rPr>
        <w:t>main stream research</w:t>
      </w:r>
      <w:r w:rsidR="00CB7B57">
        <w:rPr>
          <w:rFonts w:ascii="Times New Roman" w:hAnsi="Times New Roman"/>
          <w:bCs/>
          <w:sz w:val="24"/>
          <w:szCs w:val="24"/>
          <w:lang w:val="en-GB"/>
        </w:rPr>
        <w:t xml:space="preserve">, however within the highly impacted papers the Czech authors are mostly in the middle of the multiauthors peers. The future focus should be improvement of the research quality as well as produced papers. </w:t>
      </w:r>
    </w:p>
    <w:p w14:paraId="21427F32" w14:textId="77777777" w:rsidR="00883590" w:rsidRPr="00B52CB9"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The selected publications for peer review process cannot be considered reliable and c</w:t>
      </w:r>
      <w:r>
        <w:rPr>
          <w:rFonts w:ascii="Times New Roman" w:hAnsi="Times New Roman"/>
          <w:bCs/>
          <w:sz w:val="24"/>
          <w:szCs w:val="24"/>
          <w:lang w:val="en-GB"/>
        </w:rPr>
        <w:t>ould</w:t>
      </w:r>
      <w:r w:rsidRPr="00B52CB9">
        <w:rPr>
          <w:rFonts w:ascii="Times New Roman" w:hAnsi="Times New Roman"/>
          <w:bCs/>
          <w:sz w:val="24"/>
          <w:szCs w:val="24"/>
          <w:lang w:val="en-GB"/>
        </w:rPr>
        <w:t xml:space="preserve"> not be used in the evaluation process because less than 1% of outputs were presented to peer review. The number of reviewed papers was too low to enable drawing reliable conclusions from the peer review process and bibliometric analysis. </w:t>
      </w:r>
    </w:p>
    <w:p w14:paraId="0F16655A"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4C56DD32" w14:textId="6BA0EC3D" w:rsidR="009622CC" w:rsidRPr="00CB7B57" w:rsidRDefault="00883590" w:rsidP="009622CC">
      <w:pPr>
        <w:rPr>
          <w:rFonts w:ascii="Times New Roman" w:eastAsia="Times New Roman" w:hAnsi="Times New Roman"/>
          <w:sz w:val="24"/>
          <w:szCs w:val="24"/>
          <w:lang w:val="en-GB"/>
        </w:rPr>
      </w:pPr>
      <w:r w:rsidRPr="00B52CB9">
        <w:rPr>
          <w:rFonts w:ascii="Times New Roman" w:hAnsi="Times New Roman"/>
          <w:bCs/>
          <w:sz w:val="24"/>
          <w:szCs w:val="24"/>
          <w:lang w:val="en-GB"/>
        </w:rPr>
        <w:lastRenderedPageBreak/>
        <w:t>In assessing the research's breadth, the panel decided to focus on the main subfields, also called "flagships." Papers published in each subfield in the Top 10% AIS Journals were considered for further analysis.</w:t>
      </w:r>
      <w:r w:rsidR="009622CC">
        <w:rPr>
          <w:rFonts w:ascii="Times New Roman" w:hAnsi="Times New Roman"/>
          <w:bCs/>
          <w:sz w:val="24"/>
          <w:szCs w:val="24"/>
          <w:lang w:val="en-GB"/>
        </w:rPr>
        <w:t xml:space="preserve"> For the analysis only WoS Core collection publications were considered as well as WoS categorisation of research field.E</w:t>
      </w:r>
      <w:r w:rsidR="009622CC" w:rsidRPr="00CB7B57">
        <w:rPr>
          <w:rFonts w:ascii="Times New Roman" w:eastAsia="Times New Roman" w:hAnsi="Times New Roman"/>
          <w:sz w:val="24"/>
          <w:szCs w:val="24"/>
          <w:lang w:val="en-GB"/>
        </w:rPr>
        <w:t>each paper is inferred from the publishing journal, according to the Journal Citation Reports retrieved from WoS.</w:t>
      </w:r>
    </w:p>
    <w:p w14:paraId="693AEC68" w14:textId="08DC9158" w:rsidR="00883590" w:rsidRPr="00B52CB9"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 xml:space="preserve"> For multicentric and multinational studies, the contribution of CUNI authors (first author, last author, second and second last author) was taken into account.</w:t>
      </w:r>
    </w:p>
    <w:p w14:paraId="148C5343"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6662E005" w14:textId="77777777" w:rsidR="00883590"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CARDIOLOGY AND CARDIAC SURGERY</w:t>
      </w:r>
    </w:p>
    <w:p w14:paraId="7A38FFDF" w14:textId="77777777" w:rsidR="00883590" w:rsidRDefault="00883590" w:rsidP="00883590">
      <w:pPr>
        <w:pStyle w:val="Odstavecseseznamem"/>
        <w:spacing w:after="0"/>
        <w:ind w:left="0" w:right="93"/>
        <w:rPr>
          <w:rFonts w:ascii="Times New Roman" w:hAnsi="Times New Roman"/>
          <w:bCs/>
          <w:sz w:val="24"/>
          <w:szCs w:val="24"/>
          <w:lang w:val="en-GB"/>
        </w:rPr>
      </w:pPr>
    </w:p>
    <w:p w14:paraId="3FDD7A51" w14:textId="77777777" w:rsidR="00682936" w:rsidRDefault="00682936" w:rsidP="00682936">
      <w:pPr>
        <w:jc w:val="both"/>
        <w:rPr>
          <w:rFonts w:ascii="Arial" w:hAnsi="Arial" w:cs="Arial"/>
          <w:sz w:val="20"/>
          <w:szCs w:val="20"/>
        </w:rPr>
      </w:pPr>
      <w:r>
        <w:rPr>
          <w:rFonts w:ascii="Arial" w:hAnsi="Arial" w:cs="Arial"/>
          <w:sz w:val="20"/>
          <w:szCs w:val="20"/>
        </w:rPr>
        <w:t>A</w:t>
      </w:r>
      <w:r w:rsidRPr="00A532E3">
        <w:rPr>
          <w:rFonts w:ascii="Arial" w:hAnsi="Arial" w:cs="Arial"/>
          <w:sz w:val="20"/>
          <w:szCs w:val="20"/>
        </w:rPr>
        <w:t xml:space="preserve">ll 5 Medical Faculties </w:t>
      </w:r>
      <w:r>
        <w:rPr>
          <w:rFonts w:ascii="Arial" w:hAnsi="Arial" w:cs="Arial"/>
          <w:sz w:val="20"/>
          <w:szCs w:val="20"/>
        </w:rPr>
        <w:t>of</w:t>
      </w:r>
      <w:r w:rsidRPr="00A532E3">
        <w:rPr>
          <w:rFonts w:ascii="Arial" w:hAnsi="Arial" w:cs="Arial"/>
          <w:sz w:val="20"/>
          <w:szCs w:val="20"/>
        </w:rPr>
        <w:t xml:space="preserve"> Charles University </w:t>
      </w:r>
      <w:r>
        <w:rPr>
          <w:rFonts w:ascii="Arial" w:hAnsi="Arial" w:cs="Arial"/>
          <w:sz w:val="20"/>
          <w:szCs w:val="20"/>
        </w:rPr>
        <w:t xml:space="preserve">do have Departments of </w:t>
      </w:r>
      <w:r w:rsidRPr="00A532E3">
        <w:rPr>
          <w:rFonts w:ascii="Arial" w:hAnsi="Arial" w:cs="Arial"/>
          <w:sz w:val="20"/>
          <w:szCs w:val="20"/>
        </w:rPr>
        <w:t>Cardiology and Cardiovascular Surgery with clinically apparently complete services covering the whole spectrum except cardiac transplantation. Academically, however, the picture is quite heterogenous</w:t>
      </w:r>
      <w:r>
        <w:rPr>
          <w:rFonts w:ascii="Arial" w:hAnsi="Arial" w:cs="Arial"/>
          <w:sz w:val="20"/>
          <w:szCs w:val="20"/>
        </w:rPr>
        <w:t xml:space="preserve">. The by far most visible  </w:t>
      </w:r>
      <w:r w:rsidRPr="00C32359">
        <w:rPr>
          <w:rFonts w:ascii="Arial" w:hAnsi="Arial" w:cs="Arial"/>
          <w:b/>
          <w:bCs/>
          <w:sz w:val="20"/>
          <w:szCs w:val="20"/>
        </w:rPr>
        <w:t>Cardiology Department</w:t>
      </w:r>
      <w:r>
        <w:rPr>
          <w:rFonts w:ascii="Arial" w:hAnsi="Arial" w:cs="Arial"/>
          <w:sz w:val="20"/>
          <w:szCs w:val="20"/>
        </w:rPr>
        <w:t xml:space="preserve"> of </w:t>
      </w:r>
      <w:r w:rsidRPr="00A532E3">
        <w:rPr>
          <w:rFonts w:ascii="Arial" w:hAnsi="Arial" w:cs="Arial"/>
          <w:sz w:val="20"/>
          <w:szCs w:val="20"/>
        </w:rPr>
        <w:t>international standing</w:t>
      </w:r>
      <w:r>
        <w:rPr>
          <w:rFonts w:ascii="Arial" w:hAnsi="Arial" w:cs="Arial"/>
          <w:sz w:val="20"/>
          <w:szCs w:val="20"/>
        </w:rPr>
        <w:t xml:space="preserve"> in the field of acute cardiovascular care (Prague Trials, Stroke management)</w:t>
      </w:r>
      <w:r w:rsidRPr="00A532E3">
        <w:rPr>
          <w:rFonts w:ascii="Arial" w:hAnsi="Arial" w:cs="Arial"/>
          <w:sz w:val="20"/>
          <w:szCs w:val="20"/>
        </w:rPr>
        <w:t xml:space="preserve"> </w:t>
      </w:r>
      <w:r>
        <w:rPr>
          <w:rFonts w:ascii="Arial" w:hAnsi="Arial" w:cs="Arial"/>
          <w:sz w:val="20"/>
          <w:szCs w:val="20"/>
        </w:rPr>
        <w:t>i</w:t>
      </w:r>
      <w:r w:rsidRPr="00A532E3">
        <w:rPr>
          <w:rFonts w:ascii="Arial" w:hAnsi="Arial" w:cs="Arial"/>
          <w:sz w:val="20"/>
          <w:szCs w:val="20"/>
        </w:rPr>
        <w:t>s the 3</w:t>
      </w:r>
      <w:r w:rsidRPr="00A532E3">
        <w:rPr>
          <w:rFonts w:ascii="Arial" w:hAnsi="Arial" w:cs="Arial"/>
          <w:sz w:val="20"/>
          <w:szCs w:val="20"/>
          <w:vertAlign w:val="superscript"/>
        </w:rPr>
        <w:t>rd</w:t>
      </w:r>
      <w:r w:rsidRPr="00A532E3">
        <w:rPr>
          <w:rFonts w:ascii="Arial" w:hAnsi="Arial" w:cs="Arial"/>
          <w:sz w:val="20"/>
          <w:szCs w:val="20"/>
        </w:rPr>
        <w:t xml:space="preserve"> Medical Faculty led by Petr Widimsky</w:t>
      </w:r>
      <w:r>
        <w:rPr>
          <w:rFonts w:ascii="Arial" w:hAnsi="Arial" w:cs="Arial"/>
          <w:sz w:val="20"/>
          <w:szCs w:val="20"/>
        </w:rPr>
        <w:t>. Ales Linhart, is the second best rated cardiologist and President of the Czech Society of Cardiology with a different research focus, i.e. cardiomyopathies among others. O</w:t>
      </w:r>
      <w:r w:rsidRPr="00A532E3">
        <w:rPr>
          <w:rFonts w:ascii="Arial" w:hAnsi="Arial" w:cs="Arial"/>
          <w:sz w:val="20"/>
          <w:szCs w:val="20"/>
        </w:rPr>
        <w:t>therwise</w:t>
      </w:r>
      <w:r>
        <w:rPr>
          <w:rFonts w:ascii="Arial" w:hAnsi="Arial" w:cs="Arial"/>
          <w:sz w:val="20"/>
          <w:szCs w:val="20"/>
        </w:rPr>
        <w:t>,</w:t>
      </w:r>
      <w:r w:rsidRPr="00A532E3">
        <w:rPr>
          <w:rFonts w:ascii="Arial" w:hAnsi="Arial" w:cs="Arial"/>
          <w:sz w:val="20"/>
          <w:szCs w:val="20"/>
        </w:rPr>
        <w:t xml:space="preserve"> </w:t>
      </w:r>
      <w:r>
        <w:rPr>
          <w:rFonts w:ascii="Arial" w:hAnsi="Arial" w:cs="Arial"/>
          <w:sz w:val="20"/>
          <w:szCs w:val="20"/>
        </w:rPr>
        <w:t xml:space="preserve">the </w:t>
      </w:r>
      <w:r w:rsidRPr="00A532E3">
        <w:rPr>
          <w:rFonts w:ascii="Arial" w:hAnsi="Arial" w:cs="Arial"/>
          <w:sz w:val="20"/>
          <w:szCs w:val="20"/>
        </w:rPr>
        <w:t xml:space="preserve">scientific productivity </w:t>
      </w:r>
      <w:r>
        <w:rPr>
          <w:rFonts w:ascii="Arial" w:hAnsi="Arial" w:cs="Arial"/>
          <w:sz w:val="20"/>
          <w:szCs w:val="20"/>
        </w:rPr>
        <w:t xml:space="preserve">is </w:t>
      </w:r>
      <w:r w:rsidRPr="00A532E3">
        <w:rPr>
          <w:rFonts w:ascii="Arial" w:hAnsi="Arial" w:cs="Arial"/>
          <w:sz w:val="20"/>
          <w:szCs w:val="20"/>
        </w:rPr>
        <w:t>of medium or low ranking</w:t>
      </w:r>
      <w:r>
        <w:rPr>
          <w:rFonts w:ascii="Arial" w:hAnsi="Arial" w:cs="Arial"/>
          <w:sz w:val="20"/>
          <w:szCs w:val="20"/>
        </w:rPr>
        <w:t>, even in Department focussing only on research</w:t>
      </w:r>
      <w:r w:rsidRPr="00A532E3">
        <w:rPr>
          <w:rFonts w:ascii="Arial" w:hAnsi="Arial" w:cs="Arial"/>
          <w:sz w:val="20"/>
          <w:szCs w:val="20"/>
        </w:rPr>
        <w:t>.</w:t>
      </w:r>
      <w:r>
        <w:rPr>
          <w:rFonts w:ascii="Arial" w:hAnsi="Arial" w:cs="Arial"/>
          <w:sz w:val="20"/>
          <w:szCs w:val="20"/>
        </w:rPr>
        <w:t xml:space="preserve"> Indeed, a significant part of the citations of other faculty leaders comes also from the </w:t>
      </w:r>
      <w:r w:rsidRPr="0086031A">
        <w:rPr>
          <w:rFonts w:ascii="Arial" w:hAnsi="Arial" w:cs="Arial"/>
          <w:i/>
          <w:iCs/>
          <w:sz w:val="20"/>
          <w:szCs w:val="20"/>
        </w:rPr>
        <w:t>Prague Trials</w:t>
      </w:r>
      <w:r>
        <w:rPr>
          <w:rFonts w:ascii="Arial" w:hAnsi="Arial" w:cs="Arial"/>
          <w:sz w:val="20"/>
          <w:szCs w:val="20"/>
        </w:rPr>
        <w:t xml:space="preserve"> rather through genuine scientific productivity.</w:t>
      </w:r>
      <w:r w:rsidRPr="00A532E3">
        <w:rPr>
          <w:rFonts w:ascii="Arial" w:hAnsi="Arial" w:cs="Arial"/>
          <w:sz w:val="20"/>
          <w:szCs w:val="20"/>
        </w:rPr>
        <w:t xml:space="preserve"> </w:t>
      </w:r>
    </w:p>
    <w:p w14:paraId="2EAA5676" w14:textId="77777777" w:rsidR="00682936" w:rsidRDefault="00682936" w:rsidP="00682936">
      <w:pPr>
        <w:jc w:val="both"/>
        <w:rPr>
          <w:rFonts w:ascii="Arial" w:hAnsi="Arial" w:cs="Arial"/>
          <w:sz w:val="20"/>
          <w:szCs w:val="20"/>
        </w:rPr>
      </w:pPr>
    </w:p>
    <w:p w14:paraId="57C3A8F5" w14:textId="77777777" w:rsidR="00682936" w:rsidRDefault="00682936" w:rsidP="00682936">
      <w:pPr>
        <w:jc w:val="both"/>
        <w:rPr>
          <w:rFonts w:ascii="Arial" w:hAnsi="Arial" w:cs="Arial"/>
          <w:color w:val="000000"/>
          <w:sz w:val="20"/>
          <w:szCs w:val="20"/>
        </w:rPr>
      </w:pPr>
      <w:r w:rsidRPr="00A532E3">
        <w:rPr>
          <w:rFonts w:ascii="Arial" w:hAnsi="Arial" w:cs="Arial"/>
          <w:b/>
          <w:bCs/>
          <w:sz w:val="20"/>
          <w:szCs w:val="20"/>
        </w:rPr>
        <w:t xml:space="preserve">Cardiovascular </w:t>
      </w:r>
      <w:r>
        <w:rPr>
          <w:rFonts w:ascii="Arial" w:hAnsi="Arial" w:cs="Arial"/>
          <w:b/>
          <w:bCs/>
          <w:sz w:val="20"/>
          <w:szCs w:val="20"/>
        </w:rPr>
        <w:t>S</w:t>
      </w:r>
      <w:r w:rsidRPr="00A532E3">
        <w:rPr>
          <w:rFonts w:ascii="Arial" w:hAnsi="Arial" w:cs="Arial"/>
          <w:b/>
          <w:bCs/>
          <w:sz w:val="20"/>
          <w:szCs w:val="20"/>
        </w:rPr>
        <w:t>urgery</w:t>
      </w:r>
      <w:r w:rsidRPr="00A532E3">
        <w:rPr>
          <w:rFonts w:ascii="Arial" w:hAnsi="Arial" w:cs="Arial"/>
          <w:sz w:val="20"/>
          <w:szCs w:val="20"/>
        </w:rPr>
        <w:t xml:space="preserve"> is much less strong. </w:t>
      </w:r>
      <w:r w:rsidRPr="00A532E3">
        <w:rPr>
          <w:rFonts w:ascii="Arial" w:hAnsi="Arial" w:cs="Arial"/>
          <w:color w:val="000000"/>
          <w:sz w:val="20"/>
          <w:szCs w:val="20"/>
        </w:rPr>
        <w:t xml:space="preserve">In general, </w:t>
      </w:r>
      <w:r>
        <w:rPr>
          <w:rFonts w:ascii="Arial" w:hAnsi="Arial" w:cs="Arial"/>
          <w:color w:val="000000"/>
          <w:sz w:val="20"/>
          <w:szCs w:val="20"/>
        </w:rPr>
        <w:t xml:space="preserve">it appears that </w:t>
      </w:r>
      <w:r w:rsidRPr="00A532E3">
        <w:rPr>
          <w:rFonts w:ascii="Arial" w:hAnsi="Arial" w:cs="Arial"/>
          <w:color w:val="000000"/>
          <w:sz w:val="20"/>
          <w:szCs w:val="20"/>
        </w:rPr>
        <w:t xml:space="preserve">only </w:t>
      </w:r>
      <w:r>
        <w:rPr>
          <w:rFonts w:ascii="Arial" w:hAnsi="Arial" w:cs="Arial"/>
          <w:color w:val="000000"/>
          <w:sz w:val="20"/>
          <w:szCs w:val="20"/>
        </w:rPr>
        <w:t xml:space="preserve">two </w:t>
      </w:r>
      <w:r w:rsidRPr="00A532E3">
        <w:rPr>
          <w:rFonts w:ascii="Arial" w:hAnsi="Arial" w:cs="Arial"/>
          <w:color w:val="000000"/>
          <w:sz w:val="20"/>
          <w:szCs w:val="20"/>
        </w:rPr>
        <w:t>cardiac surgeons are really active in clinical research</w:t>
      </w:r>
      <w:r>
        <w:rPr>
          <w:rFonts w:ascii="Arial" w:hAnsi="Arial" w:cs="Arial"/>
          <w:color w:val="000000"/>
          <w:sz w:val="20"/>
          <w:szCs w:val="20"/>
        </w:rPr>
        <w:t>, i.e.</w:t>
      </w:r>
      <w:r w:rsidRPr="00A532E3">
        <w:rPr>
          <w:rFonts w:ascii="Arial" w:hAnsi="Arial" w:cs="Arial"/>
          <w:color w:val="000000"/>
          <w:sz w:val="20"/>
          <w:szCs w:val="20"/>
        </w:rPr>
        <w:t xml:space="preserve"> </w:t>
      </w:r>
      <w:r>
        <w:rPr>
          <w:rFonts w:ascii="Arial" w:hAnsi="Arial" w:cs="Arial"/>
          <w:color w:val="000000"/>
          <w:sz w:val="20"/>
          <w:szCs w:val="20"/>
        </w:rPr>
        <w:t xml:space="preserve">Peter Kacer, the best cited cardiovascular surgeon with an h-index of 19, followed by Jan Vojacek (h-index 14) and </w:t>
      </w:r>
      <w:r w:rsidRPr="00A532E3">
        <w:rPr>
          <w:rFonts w:ascii="Arial" w:hAnsi="Arial" w:cs="Arial"/>
          <w:color w:val="000000"/>
          <w:sz w:val="20"/>
          <w:szCs w:val="20"/>
        </w:rPr>
        <w:t>Jaroslav Lindner</w:t>
      </w:r>
      <w:r>
        <w:rPr>
          <w:rFonts w:ascii="Arial" w:hAnsi="Arial" w:cs="Arial"/>
          <w:color w:val="000000"/>
          <w:sz w:val="20"/>
          <w:szCs w:val="20"/>
        </w:rPr>
        <w:t xml:space="preserve"> (with a moderate h-index of 12). </w:t>
      </w:r>
      <w:r w:rsidRPr="00A532E3">
        <w:rPr>
          <w:rFonts w:ascii="Arial" w:hAnsi="Arial" w:cs="Arial"/>
          <w:color w:val="000000"/>
          <w:sz w:val="20"/>
          <w:szCs w:val="20"/>
        </w:rPr>
        <w:t xml:space="preserve">The others are </w:t>
      </w:r>
      <w:r>
        <w:rPr>
          <w:rFonts w:ascii="Arial" w:hAnsi="Arial" w:cs="Arial"/>
          <w:color w:val="000000"/>
          <w:sz w:val="20"/>
          <w:szCs w:val="20"/>
        </w:rPr>
        <w:t xml:space="preserve">probably </w:t>
      </w:r>
      <w:r w:rsidRPr="00A532E3">
        <w:rPr>
          <w:rFonts w:ascii="Arial" w:hAnsi="Arial" w:cs="Arial"/>
          <w:color w:val="000000"/>
          <w:sz w:val="20"/>
          <w:szCs w:val="20"/>
        </w:rPr>
        <w:t xml:space="preserve">excellent surgeons, but </w:t>
      </w:r>
      <w:r>
        <w:rPr>
          <w:rFonts w:ascii="Arial" w:hAnsi="Arial" w:cs="Arial"/>
          <w:color w:val="000000"/>
          <w:sz w:val="20"/>
          <w:szCs w:val="20"/>
        </w:rPr>
        <w:t>without international standing</w:t>
      </w:r>
      <w:r w:rsidRPr="00A532E3">
        <w:rPr>
          <w:rFonts w:ascii="Arial" w:hAnsi="Arial" w:cs="Arial"/>
          <w:color w:val="000000"/>
          <w:sz w:val="20"/>
          <w:szCs w:val="20"/>
        </w:rPr>
        <w:t>.</w:t>
      </w:r>
    </w:p>
    <w:p w14:paraId="0835B2C6" w14:textId="77777777" w:rsidR="00682936" w:rsidRDefault="00682936" w:rsidP="00682936">
      <w:pPr>
        <w:jc w:val="both"/>
        <w:rPr>
          <w:rFonts w:ascii="Arial" w:hAnsi="Arial" w:cs="Arial"/>
          <w:color w:val="000000"/>
          <w:sz w:val="20"/>
          <w:szCs w:val="20"/>
        </w:rPr>
      </w:pPr>
    </w:p>
    <w:p w14:paraId="0F17FB66" w14:textId="77777777" w:rsidR="00682936" w:rsidRPr="000E0726" w:rsidRDefault="00682936" w:rsidP="00682936">
      <w:pPr>
        <w:jc w:val="both"/>
        <w:rPr>
          <w:rFonts w:ascii="Arial" w:hAnsi="Arial" w:cs="Arial"/>
          <w:sz w:val="20"/>
          <w:szCs w:val="20"/>
          <w:lang w:val="en-US"/>
        </w:rPr>
      </w:pPr>
      <w:r>
        <w:rPr>
          <w:rFonts w:ascii="Arial" w:hAnsi="Arial" w:cs="Arial"/>
          <w:sz w:val="20"/>
          <w:szCs w:val="20"/>
          <w:lang w:val="en-US"/>
        </w:rPr>
        <w:t xml:space="preserve">Another way at looking at the scientific success of the different Medical Faculties is to assess the papers published in high impact journals. </w:t>
      </w:r>
      <w:r w:rsidRPr="00330270">
        <w:rPr>
          <w:rFonts w:ascii="Arial" w:hAnsi="Arial" w:cs="Arial"/>
          <w:sz w:val="20"/>
          <w:szCs w:val="20"/>
          <w:lang w:val="en-US"/>
        </w:rPr>
        <w:t xml:space="preserve">The </w:t>
      </w:r>
      <w:r w:rsidRPr="000E0726">
        <w:rPr>
          <w:rFonts w:ascii="Arial" w:hAnsi="Arial" w:cs="Arial"/>
          <w:b/>
          <w:bCs/>
          <w:sz w:val="20"/>
          <w:szCs w:val="20"/>
          <w:lang w:val="en-US"/>
        </w:rPr>
        <w:t>assessement of publications</w:t>
      </w:r>
      <w:r w:rsidRPr="00330270">
        <w:rPr>
          <w:rFonts w:ascii="Arial" w:hAnsi="Arial" w:cs="Arial"/>
          <w:sz w:val="20"/>
          <w:szCs w:val="20"/>
          <w:lang w:val="en-US"/>
        </w:rPr>
        <w:t xml:space="preserve"> of group D1 reveled a total number of 70 publications. These were distributed between faculties as follows: 1. LF: 30 papers, 2. LF: 11 papers, 3. LF: 17 papers, LFHK: 4 papers, and LFPI 8 papers, respectively. Again</w:t>
      </w:r>
      <w:r>
        <w:rPr>
          <w:rFonts w:ascii="Arial" w:hAnsi="Arial" w:cs="Arial"/>
          <w:sz w:val="20"/>
          <w:szCs w:val="20"/>
          <w:lang w:val="en-US"/>
        </w:rPr>
        <w:t>,</w:t>
      </w:r>
      <w:r w:rsidRPr="00330270">
        <w:rPr>
          <w:rFonts w:ascii="Arial" w:hAnsi="Arial" w:cs="Arial"/>
          <w:sz w:val="20"/>
          <w:szCs w:val="20"/>
          <w:lang w:val="en-US"/>
        </w:rPr>
        <w:t xml:space="preserve"> this reflects the fact that the </w:t>
      </w:r>
      <w:r>
        <w:rPr>
          <w:rFonts w:ascii="Arial" w:hAnsi="Arial" w:cs="Arial"/>
          <w:sz w:val="20"/>
          <w:szCs w:val="20"/>
          <w:lang w:val="en-US"/>
        </w:rPr>
        <w:t>1</w:t>
      </w:r>
      <w:r w:rsidRPr="00DC31E4">
        <w:rPr>
          <w:rFonts w:ascii="Arial" w:hAnsi="Arial" w:cs="Arial"/>
          <w:sz w:val="20"/>
          <w:szCs w:val="20"/>
          <w:vertAlign w:val="superscript"/>
          <w:lang w:val="en-US"/>
        </w:rPr>
        <w:t>st</w:t>
      </w:r>
      <w:r>
        <w:rPr>
          <w:rFonts w:ascii="Arial" w:hAnsi="Arial" w:cs="Arial"/>
          <w:sz w:val="20"/>
          <w:szCs w:val="20"/>
          <w:lang w:val="en-US"/>
        </w:rPr>
        <w:t xml:space="preserve"> and 3</w:t>
      </w:r>
      <w:r w:rsidRPr="00DC31E4">
        <w:rPr>
          <w:rFonts w:ascii="Arial" w:hAnsi="Arial" w:cs="Arial"/>
          <w:sz w:val="20"/>
          <w:szCs w:val="20"/>
          <w:vertAlign w:val="superscript"/>
          <w:lang w:val="en-US"/>
        </w:rPr>
        <w:t>rd</w:t>
      </w:r>
      <w:r w:rsidRPr="00330270">
        <w:rPr>
          <w:rFonts w:ascii="Arial" w:hAnsi="Arial" w:cs="Arial"/>
          <w:sz w:val="20"/>
          <w:szCs w:val="20"/>
          <w:lang w:val="en-US"/>
        </w:rPr>
        <w:t xml:space="preserve"> Medical Faculties in Prague are far above the two others</w:t>
      </w:r>
      <w:r>
        <w:rPr>
          <w:rFonts w:ascii="Arial" w:hAnsi="Arial" w:cs="Arial"/>
          <w:sz w:val="20"/>
          <w:szCs w:val="20"/>
          <w:lang w:val="en-US"/>
        </w:rPr>
        <w:t>, i.e. the 2</w:t>
      </w:r>
      <w:r w:rsidRPr="00DC31E4">
        <w:rPr>
          <w:rFonts w:ascii="Arial" w:hAnsi="Arial" w:cs="Arial"/>
          <w:sz w:val="20"/>
          <w:szCs w:val="20"/>
          <w:vertAlign w:val="superscript"/>
          <w:lang w:val="en-US"/>
        </w:rPr>
        <w:t>nd</w:t>
      </w:r>
      <w:r>
        <w:rPr>
          <w:rFonts w:ascii="Arial" w:hAnsi="Arial" w:cs="Arial"/>
          <w:sz w:val="20"/>
          <w:szCs w:val="20"/>
          <w:lang w:val="en-US"/>
        </w:rPr>
        <w:t xml:space="preserve"> Medical Faculty Prague and the ones</w:t>
      </w:r>
      <w:r w:rsidRPr="00330270">
        <w:rPr>
          <w:rFonts w:ascii="Arial" w:hAnsi="Arial" w:cs="Arial"/>
          <w:sz w:val="20"/>
          <w:szCs w:val="20"/>
          <w:lang w:val="en-US"/>
        </w:rPr>
        <w:t xml:space="preserve"> in Pilsen and Hradec Kralové. While in terms of numbers, the 1</w:t>
      </w:r>
      <w:r w:rsidRPr="00330270">
        <w:rPr>
          <w:rFonts w:ascii="Arial" w:hAnsi="Arial" w:cs="Arial"/>
          <w:sz w:val="20"/>
          <w:szCs w:val="20"/>
          <w:vertAlign w:val="superscript"/>
          <w:lang w:val="en-US"/>
        </w:rPr>
        <w:t>st</w:t>
      </w:r>
      <w:r w:rsidRPr="00330270">
        <w:rPr>
          <w:rFonts w:ascii="Arial" w:hAnsi="Arial" w:cs="Arial"/>
          <w:sz w:val="20"/>
          <w:szCs w:val="20"/>
          <w:lang w:val="en-US"/>
        </w:rPr>
        <w:t xml:space="preserve"> Medical Facults looks best in this analysis, considering the </w:t>
      </w:r>
      <w:r w:rsidRPr="00330270">
        <w:rPr>
          <w:rFonts w:ascii="Arial" w:hAnsi="Arial" w:cs="Arial"/>
          <w:b/>
          <w:bCs/>
          <w:sz w:val="20"/>
          <w:szCs w:val="20"/>
          <w:lang w:val="en-US"/>
        </w:rPr>
        <w:t>most cited authors</w:t>
      </w:r>
      <w:r w:rsidRPr="00330270">
        <w:rPr>
          <w:rFonts w:ascii="Arial" w:hAnsi="Arial" w:cs="Arial"/>
          <w:sz w:val="20"/>
          <w:szCs w:val="20"/>
          <w:lang w:val="en-US"/>
        </w:rPr>
        <w:t xml:space="preserve">, the ranking looks different: </w:t>
      </w:r>
      <w:r w:rsidRPr="008C7E42">
        <w:rPr>
          <w:rFonts w:ascii="Arial" w:hAnsi="Arial" w:cs="Arial"/>
          <w:sz w:val="20"/>
          <w:szCs w:val="20"/>
          <w:lang w:val="en-US"/>
        </w:rPr>
        <w:t xml:space="preserve">While Ales Linhart of the 1.LF - 1st Medical Faculty looks the best with 329 publications (308 PubMed listed) and </w:t>
      </w:r>
      <w:r>
        <w:rPr>
          <w:rFonts w:ascii="Arial" w:hAnsi="Arial" w:cs="Arial"/>
          <w:sz w:val="20"/>
          <w:szCs w:val="20"/>
          <w:lang w:val="en-US"/>
        </w:rPr>
        <w:t>the highest citations (see Table 1) citations</w:t>
      </w:r>
      <w:r w:rsidRPr="008C7E42">
        <w:rPr>
          <w:rFonts w:ascii="Arial" w:hAnsi="Arial" w:cs="Arial"/>
          <w:sz w:val="20"/>
          <w:szCs w:val="20"/>
          <w:lang w:val="en-US"/>
        </w:rPr>
        <w:t>, in terms of original contributions to the field, Petr Widimsky with 431 PubMed listed publications from 3.LF - 3rd Medical Faculty is clearly the leading figure internationally</w:t>
      </w:r>
      <w:r>
        <w:rPr>
          <w:rFonts w:ascii="Arial" w:hAnsi="Arial" w:cs="Arial"/>
          <w:sz w:val="20"/>
          <w:szCs w:val="20"/>
          <w:lang w:val="en-US"/>
        </w:rPr>
        <w:t xml:space="preserve"> as the primary investigator of the </w:t>
      </w:r>
      <w:r w:rsidRPr="00DC31E4">
        <w:rPr>
          <w:rFonts w:ascii="Arial" w:hAnsi="Arial" w:cs="Arial"/>
          <w:i/>
          <w:iCs/>
          <w:sz w:val="20"/>
          <w:szCs w:val="20"/>
          <w:lang w:val="en-US"/>
        </w:rPr>
        <w:t>Prague Trial</w:t>
      </w:r>
      <w:r>
        <w:rPr>
          <w:rFonts w:ascii="Arial" w:hAnsi="Arial" w:cs="Arial"/>
          <w:sz w:val="20"/>
          <w:szCs w:val="20"/>
          <w:lang w:val="en-US"/>
        </w:rPr>
        <w:t xml:space="preserve"> series as he is not a co-author, but the brain behind these trials</w:t>
      </w:r>
      <w:r w:rsidRPr="008C7E42">
        <w:rPr>
          <w:rFonts w:ascii="Arial" w:hAnsi="Arial" w:cs="Arial"/>
          <w:sz w:val="20"/>
          <w:szCs w:val="20"/>
          <w:lang w:val="en-US"/>
        </w:rPr>
        <w:t>. From LFPI - Medical Faculty Pilsen, Richard Rokyta (89 PubMed listed publications) is involved in most of the top ten publications from his center. In the faculties 2.</w:t>
      </w:r>
      <w:r>
        <w:rPr>
          <w:rFonts w:ascii="Arial" w:hAnsi="Arial" w:cs="Arial"/>
          <w:sz w:val="20"/>
          <w:szCs w:val="20"/>
          <w:lang w:val="en-US"/>
        </w:rPr>
        <w:t xml:space="preserve"> </w:t>
      </w:r>
      <w:r w:rsidRPr="008C7E42">
        <w:rPr>
          <w:rFonts w:ascii="Arial" w:hAnsi="Arial" w:cs="Arial"/>
          <w:sz w:val="20"/>
          <w:szCs w:val="20"/>
          <w:lang w:val="en-US"/>
        </w:rPr>
        <w:t>LF and LFHK is due to the low number of manuscripts published no clear research leader visible</w:t>
      </w:r>
      <w:r>
        <w:rPr>
          <w:rFonts w:ascii="Arial" w:hAnsi="Arial" w:cs="Arial"/>
          <w:sz w:val="20"/>
          <w:szCs w:val="20"/>
          <w:lang w:val="en-US"/>
        </w:rPr>
        <w:t>; indeed, these faculties are clearly of a low scientific productivity and reputation</w:t>
      </w:r>
      <w:r w:rsidRPr="008C7E42">
        <w:rPr>
          <w:rFonts w:ascii="Arial" w:hAnsi="Arial" w:cs="Arial"/>
          <w:sz w:val="20"/>
          <w:szCs w:val="20"/>
          <w:lang w:val="en-US"/>
        </w:rPr>
        <w:t>.</w:t>
      </w:r>
    </w:p>
    <w:p w14:paraId="261424A4" w14:textId="77777777" w:rsidR="00682936" w:rsidRDefault="00682936" w:rsidP="00682936">
      <w:pPr>
        <w:widowControl w:val="0"/>
        <w:jc w:val="both"/>
        <w:rPr>
          <w:rFonts w:ascii="Arial" w:hAnsi="Arial" w:cs="Arial"/>
          <w:sz w:val="20"/>
          <w:szCs w:val="20"/>
        </w:rPr>
      </w:pPr>
    </w:p>
    <w:p w14:paraId="6DCE5DF9" w14:textId="77777777" w:rsidR="00682936" w:rsidRDefault="00682936" w:rsidP="00682936">
      <w:pPr>
        <w:widowControl w:val="0"/>
        <w:jc w:val="both"/>
        <w:rPr>
          <w:rFonts w:ascii="Arial" w:hAnsi="Arial" w:cs="Arial"/>
          <w:sz w:val="20"/>
          <w:szCs w:val="20"/>
        </w:rPr>
      </w:pPr>
      <w:r w:rsidRPr="00330270">
        <w:rPr>
          <w:rFonts w:ascii="Arial" w:hAnsi="Arial" w:cs="Arial"/>
          <w:sz w:val="20"/>
          <w:szCs w:val="20"/>
        </w:rPr>
        <w:t xml:space="preserve">Obviously, it is of importance to compare the leading academics of Charles University with those of </w:t>
      </w:r>
      <w:r w:rsidRPr="000E0726">
        <w:rPr>
          <w:rFonts w:ascii="Arial" w:hAnsi="Arial" w:cs="Arial"/>
          <w:b/>
          <w:bCs/>
          <w:sz w:val="20"/>
          <w:szCs w:val="20"/>
        </w:rPr>
        <w:t>benchmark universities</w:t>
      </w:r>
      <w:r w:rsidRPr="00330270">
        <w:rPr>
          <w:rFonts w:ascii="Arial" w:hAnsi="Arial" w:cs="Arial"/>
          <w:sz w:val="20"/>
          <w:szCs w:val="20"/>
        </w:rPr>
        <w:t xml:space="preserve"> in Europe. Thus analysis reveals that Charles University in cardiovascular medicine surpasses Warsaw and is almost compar</w:t>
      </w:r>
      <w:r>
        <w:rPr>
          <w:rFonts w:ascii="Arial" w:hAnsi="Arial" w:cs="Arial"/>
          <w:sz w:val="20"/>
          <w:szCs w:val="20"/>
        </w:rPr>
        <w:t>a</w:t>
      </w:r>
      <w:r w:rsidRPr="00330270">
        <w:rPr>
          <w:rFonts w:ascii="Arial" w:hAnsi="Arial" w:cs="Arial"/>
          <w:sz w:val="20"/>
          <w:szCs w:val="20"/>
        </w:rPr>
        <w:t>ble to Heidelberg, but below Copenhagen</w:t>
      </w:r>
      <w:r>
        <w:rPr>
          <w:rFonts w:ascii="Arial" w:hAnsi="Arial" w:cs="Arial"/>
          <w:sz w:val="20"/>
          <w:szCs w:val="20"/>
        </w:rPr>
        <w:t>,</w:t>
      </w:r>
      <w:r w:rsidRPr="00330270">
        <w:rPr>
          <w:rFonts w:ascii="Arial" w:hAnsi="Arial" w:cs="Arial"/>
          <w:sz w:val="20"/>
          <w:szCs w:val="20"/>
        </w:rPr>
        <w:t xml:space="preserve"> Milan and Leuven. Thus, Charles University is reasonably positioned, but could further improve its standing in cardiovascular medicine. In particular, it should broaden its productivity beyond the 3</w:t>
      </w:r>
      <w:r w:rsidRPr="00330270">
        <w:rPr>
          <w:rFonts w:ascii="Arial" w:hAnsi="Arial" w:cs="Arial"/>
          <w:sz w:val="20"/>
          <w:szCs w:val="20"/>
          <w:vertAlign w:val="superscript"/>
        </w:rPr>
        <w:t>rd</w:t>
      </w:r>
      <w:r w:rsidRPr="00330270">
        <w:rPr>
          <w:rFonts w:ascii="Arial" w:hAnsi="Arial" w:cs="Arial"/>
          <w:sz w:val="20"/>
          <w:szCs w:val="20"/>
        </w:rPr>
        <w:t xml:space="preserve"> Medical Faculty and assure international leadership at least also in the 1</w:t>
      </w:r>
      <w:r w:rsidRPr="00330270">
        <w:rPr>
          <w:rFonts w:ascii="Arial" w:hAnsi="Arial" w:cs="Arial"/>
          <w:sz w:val="20"/>
          <w:szCs w:val="20"/>
          <w:vertAlign w:val="superscript"/>
        </w:rPr>
        <w:t>st</w:t>
      </w:r>
      <w:r w:rsidRPr="00330270">
        <w:rPr>
          <w:rFonts w:ascii="Arial" w:hAnsi="Arial" w:cs="Arial"/>
          <w:sz w:val="20"/>
          <w:szCs w:val="20"/>
        </w:rPr>
        <w:t xml:space="preserve"> and 2</w:t>
      </w:r>
      <w:r w:rsidRPr="00330270">
        <w:rPr>
          <w:rFonts w:ascii="Arial" w:hAnsi="Arial" w:cs="Arial"/>
          <w:sz w:val="20"/>
          <w:szCs w:val="20"/>
          <w:vertAlign w:val="superscript"/>
        </w:rPr>
        <w:t>nd</w:t>
      </w:r>
      <w:r w:rsidRPr="00330270">
        <w:rPr>
          <w:rFonts w:ascii="Arial" w:hAnsi="Arial" w:cs="Arial"/>
          <w:sz w:val="20"/>
          <w:szCs w:val="20"/>
        </w:rPr>
        <w:t xml:space="preserve"> Medical Faculty in Prague where there is potential. </w:t>
      </w:r>
      <w:r>
        <w:rPr>
          <w:rFonts w:ascii="Arial" w:hAnsi="Arial" w:cs="Arial"/>
          <w:sz w:val="20"/>
          <w:szCs w:val="20"/>
        </w:rPr>
        <w:t xml:space="preserve">To that end, local research grants fort he next generation should be expanded. </w:t>
      </w:r>
    </w:p>
    <w:p w14:paraId="20F814B7" w14:textId="77777777" w:rsidR="00682936" w:rsidRPr="00330270" w:rsidRDefault="00682936" w:rsidP="00682936">
      <w:pPr>
        <w:widowControl w:val="0"/>
        <w:jc w:val="both"/>
        <w:rPr>
          <w:rFonts w:ascii="Arial" w:hAnsi="Arial" w:cs="Arial"/>
          <w:sz w:val="20"/>
          <w:szCs w:val="20"/>
        </w:rPr>
      </w:pPr>
      <w:r>
        <w:rPr>
          <w:rFonts w:ascii="Arial" w:hAnsi="Arial" w:cs="Arial"/>
          <w:sz w:val="20"/>
          <w:szCs w:val="20"/>
        </w:rPr>
        <w:t>Mentoring of the weaker Medical Faculties would be highly recommended, for instance through a standing international advisory board. Also, as both leaders in Cardiology will retire in some years, the next generation should be looked after at carefully and appropriately supported to maintain the current level of productivity also in the future..</w:t>
      </w:r>
      <w:r w:rsidRPr="00330270">
        <w:rPr>
          <w:rFonts w:ascii="Arial" w:hAnsi="Arial" w:cs="Arial"/>
          <w:sz w:val="20"/>
          <w:szCs w:val="20"/>
        </w:rPr>
        <w:t>I</w:t>
      </w:r>
      <w:r>
        <w:rPr>
          <w:rFonts w:ascii="Arial" w:hAnsi="Arial" w:cs="Arial"/>
          <w:sz w:val="20"/>
          <w:szCs w:val="20"/>
        </w:rPr>
        <w:t>ndeed, i</w:t>
      </w:r>
      <w:r w:rsidRPr="00330270">
        <w:rPr>
          <w:rFonts w:ascii="Arial" w:hAnsi="Arial" w:cs="Arial"/>
          <w:sz w:val="20"/>
          <w:szCs w:val="20"/>
        </w:rPr>
        <w:t xml:space="preserve">t is of concern that after the retirement of Petr Widimsky in a few years, the standing may be endangered unless young and productive clinical scientits will follow in his foot steps. </w:t>
      </w:r>
    </w:p>
    <w:p w14:paraId="683F82AD" w14:textId="77777777" w:rsidR="00682936" w:rsidRDefault="00682936" w:rsidP="00682936">
      <w:pPr>
        <w:widowControl w:val="0"/>
        <w:jc w:val="both"/>
        <w:rPr>
          <w:rFonts w:ascii="Arial" w:hAnsi="Arial" w:cs="Arial"/>
          <w:sz w:val="20"/>
          <w:szCs w:val="20"/>
        </w:rPr>
      </w:pPr>
    </w:p>
    <w:p w14:paraId="67850AA6" w14:textId="77777777" w:rsidR="00682936" w:rsidRPr="00DC31E4" w:rsidRDefault="00682936" w:rsidP="00682936">
      <w:pPr>
        <w:widowControl w:val="0"/>
        <w:jc w:val="both"/>
        <w:rPr>
          <w:rFonts w:ascii="Arial" w:hAnsi="Arial" w:cs="Arial"/>
          <w:sz w:val="20"/>
          <w:szCs w:val="20"/>
        </w:rPr>
      </w:pPr>
      <w:r w:rsidRPr="00DC31E4">
        <w:rPr>
          <w:rFonts w:ascii="Arial" w:hAnsi="Arial" w:cs="Arial"/>
          <w:b/>
          <w:bCs/>
          <w:sz w:val="20"/>
          <w:szCs w:val="20"/>
        </w:rPr>
        <w:t>Conclusion</w:t>
      </w:r>
      <w:r w:rsidRPr="00DC31E4">
        <w:rPr>
          <w:rFonts w:ascii="Arial" w:hAnsi="Arial" w:cs="Arial"/>
          <w:sz w:val="20"/>
          <w:szCs w:val="20"/>
        </w:rPr>
        <w:t xml:space="preserve">: </w:t>
      </w:r>
      <w:r>
        <w:rPr>
          <w:rFonts w:ascii="Arial" w:hAnsi="Arial" w:cs="Arial"/>
          <w:sz w:val="20"/>
          <w:szCs w:val="20"/>
        </w:rPr>
        <w:t>T</w:t>
      </w:r>
      <w:r w:rsidRPr="00DC31E4">
        <w:rPr>
          <w:rFonts w:ascii="Arial" w:hAnsi="Arial" w:cs="Arial"/>
          <w:sz w:val="20"/>
          <w:szCs w:val="20"/>
        </w:rPr>
        <w:t xml:space="preserve">he scientific productivity of </w:t>
      </w:r>
      <w:r w:rsidRPr="005C2403">
        <w:rPr>
          <w:rFonts w:ascii="Arial" w:hAnsi="Arial" w:cs="Arial"/>
          <w:b/>
          <w:bCs/>
          <w:sz w:val="20"/>
          <w:szCs w:val="20"/>
        </w:rPr>
        <w:t>Cardiology</w:t>
      </w:r>
      <w:r w:rsidRPr="00DC31E4">
        <w:rPr>
          <w:rFonts w:ascii="Arial" w:hAnsi="Arial" w:cs="Arial"/>
          <w:sz w:val="20"/>
          <w:szCs w:val="20"/>
        </w:rPr>
        <w:t xml:space="preserve"> at Charles University is very heterogeneous among the different </w:t>
      </w:r>
      <w:r w:rsidRPr="000E0726">
        <w:rPr>
          <w:rFonts w:ascii="Arial" w:hAnsi="Arial" w:cs="Arial"/>
          <w:sz w:val="20"/>
          <w:szCs w:val="20"/>
        </w:rPr>
        <w:t>faculties with the 1st and 3rd Medical Faculty being internationally visible and competitive. Cardiovascular surgery</w:t>
      </w:r>
      <w:r>
        <w:rPr>
          <w:rFonts w:ascii="Arial" w:hAnsi="Arial" w:cs="Arial"/>
          <w:sz w:val="20"/>
          <w:szCs w:val="20"/>
        </w:rPr>
        <w:t xml:space="preserve"> is solid and has 3 leaders with modertae to good scientific productivity. </w:t>
      </w:r>
    </w:p>
    <w:p w14:paraId="0CA90A86" w14:textId="77777777" w:rsidR="00682936" w:rsidRDefault="00682936" w:rsidP="00883590">
      <w:pPr>
        <w:pStyle w:val="Odstavecseseznamem"/>
        <w:spacing w:after="0"/>
        <w:ind w:left="0" w:right="93"/>
        <w:rPr>
          <w:rFonts w:ascii="Times New Roman" w:hAnsi="Times New Roman"/>
          <w:bCs/>
          <w:sz w:val="24"/>
          <w:szCs w:val="24"/>
          <w:lang w:val="en-GB"/>
        </w:rPr>
      </w:pPr>
    </w:p>
    <w:p w14:paraId="2A0DEEC8"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738E3CA7" w14:textId="77777777" w:rsidR="00883590" w:rsidRPr="00B52CB9"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CLINICAL NEUROLOGY</w:t>
      </w:r>
    </w:p>
    <w:p w14:paraId="6E7CCDC7" w14:textId="40A3CB00" w:rsidR="00192D10" w:rsidRDefault="00883590" w:rsidP="00883590">
      <w:pPr>
        <w:pStyle w:val="Odstavecseseznamem"/>
        <w:spacing w:after="0"/>
        <w:ind w:left="0" w:right="93"/>
        <w:rPr>
          <w:rFonts w:ascii="Times New Roman" w:hAnsi="Times New Roman"/>
          <w:bCs/>
          <w:sz w:val="24"/>
          <w:szCs w:val="24"/>
          <w:lang w:val="en-GB"/>
        </w:rPr>
      </w:pPr>
      <w:r w:rsidRPr="00B52CB9">
        <w:rPr>
          <w:rFonts w:ascii="Times New Roman" w:hAnsi="Times New Roman"/>
          <w:bCs/>
          <w:sz w:val="24"/>
          <w:szCs w:val="24"/>
          <w:lang w:val="en-GB"/>
        </w:rPr>
        <w:t>Overall</w:t>
      </w:r>
      <w:r>
        <w:rPr>
          <w:rFonts w:ascii="Times New Roman" w:hAnsi="Times New Roman"/>
          <w:bCs/>
          <w:sz w:val="24"/>
          <w:szCs w:val="24"/>
          <w:lang w:val="en-GB"/>
        </w:rPr>
        <w:t>, for</w:t>
      </w:r>
      <w:r w:rsidRPr="00B52CB9">
        <w:rPr>
          <w:rFonts w:ascii="Times New Roman" w:hAnsi="Times New Roman"/>
          <w:bCs/>
          <w:sz w:val="24"/>
          <w:szCs w:val="24"/>
          <w:lang w:val="en-GB"/>
        </w:rPr>
        <w:t xml:space="preserve"> faculties at CU, there is a good coverage of all areas of </w:t>
      </w:r>
      <w:r>
        <w:rPr>
          <w:rFonts w:ascii="Times New Roman" w:hAnsi="Times New Roman"/>
          <w:bCs/>
          <w:sz w:val="24"/>
          <w:szCs w:val="24"/>
          <w:lang w:val="en-GB"/>
        </w:rPr>
        <w:t>n</w:t>
      </w:r>
      <w:r w:rsidRPr="00B52CB9">
        <w:rPr>
          <w:rFonts w:ascii="Times New Roman" w:hAnsi="Times New Roman"/>
          <w:bCs/>
          <w:sz w:val="24"/>
          <w:szCs w:val="24"/>
          <w:lang w:val="en-GB"/>
        </w:rPr>
        <w:t xml:space="preserve">eurology, including </w:t>
      </w:r>
      <w:r>
        <w:rPr>
          <w:rFonts w:ascii="Times New Roman" w:hAnsi="Times New Roman"/>
          <w:bCs/>
          <w:sz w:val="24"/>
          <w:szCs w:val="24"/>
          <w:lang w:val="en-GB"/>
        </w:rPr>
        <w:t xml:space="preserve">multiple sclerosis, dementia, dystonia, stroke, epilepsy, and encephalopathies including hypersomnia.  </w:t>
      </w:r>
      <w:r w:rsidRPr="00B52CB9">
        <w:rPr>
          <w:rFonts w:ascii="Times New Roman" w:hAnsi="Times New Roman"/>
          <w:bCs/>
          <w:sz w:val="24"/>
          <w:szCs w:val="24"/>
          <w:lang w:val="en-GB"/>
        </w:rPr>
        <w:t xml:space="preserve">Clearly there are flagship expertises such as </w:t>
      </w:r>
      <w:r>
        <w:rPr>
          <w:rFonts w:ascii="Times New Roman" w:hAnsi="Times New Roman"/>
          <w:bCs/>
          <w:sz w:val="24"/>
          <w:szCs w:val="24"/>
          <w:lang w:val="en-GB"/>
        </w:rPr>
        <w:t xml:space="preserve">multiple sclerosis </w:t>
      </w:r>
      <w:r w:rsidR="00192D10">
        <w:rPr>
          <w:rFonts w:ascii="Times New Roman" w:hAnsi="Times New Roman"/>
          <w:bCs/>
          <w:sz w:val="24"/>
          <w:szCs w:val="24"/>
          <w:lang w:val="en-GB"/>
        </w:rPr>
        <w:t xml:space="preserve">(Prof. Eva Havrdova, </w:t>
      </w:r>
      <w:r w:rsidR="00192D10" w:rsidRPr="00AC72BF">
        <w:rPr>
          <w:rFonts w:ascii="Times New Roman" w:hAnsi="Times New Roman"/>
          <w:bCs/>
          <w:sz w:val="24"/>
          <w:szCs w:val="24"/>
          <w:lang w:val="en-GB"/>
        </w:rPr>
        <w:t>Dana Horakova</w:t>
      </w:r>
      <w:r w:rsidR="00192D10">
        <w:rPr>
          <w:rFonts w:ascii="Times New Roman" w:hAnsi="Times New Roman"/>
          <w:bCs/>
          <w:sz w:val="24"/>
          <w:szCs w:val="24"/>
          <w:lang w:val="en-GB"/>
        </w:rPr>
        <w:t>), movement disorders (Evzen Ruzicka)</w:t>
      </w:r>
      <w:r w:rsidR="00192D10" w:rsidRPr="00B52CB9">
        <w:rPr>
          <w:rFonts w:ascii="Times New Roman" w:hAnsi="Times New Roman"/>
          <w:bCs/>
          <w:sz w:val="24"/>
          <w:szCs w:val="24"/>
          <w:lang w:val="en-GB"/>
        </w:rPr>
        <w:t xml:space="preserve"> </w:t>
      </w:r>
      <w:r w:rsidRPr="00B52CB9">
        <w:rPr>
          <w:rFonts w:ascii="Times New Roman" w:hAnsi="Times New Roman"/>
          <w:bCs/>
          <w:sz w:val="24"/>
          <w:szCs w:val="24"/>
          <w:lang w:val="en-GB"/>
        </w:rPr>
        <w:t xml:space="preserve">and </w:t>
      </w:r>
      <w:r>
        <w:rPr>
          <w:rFonts w:ascii="Times New Roman" w:hAnsi="Times New Roman"/>
          <w:bCs/>
          <w:sz w:val="24"/>
          <w:szCs w:val="24"/>
          <w:lang w:val="en-GB"/>
        </w:rPr>
        <w:t>s</w:t>
      </w:r>
      <w:r w:rsidRPr="00B52CB9">
        <w:rPr>
          <w:rFonts w:ascii="Times New Roman" w:hAnsi="Times New Roman"/>
          <w:bCs/>
          <w:sz w:val="24"/>
          <w:szCs w:val="24"/>
          <w:lang w:val="en-GB"/>
        </w:rPr>
        <w:t>leep</w:t>
      </w:r>
      <w:r w:rsidR="00192D10">
        <w:rPr>
          <w:rFonts w:ascii="Times New Roman" w:hAnsi="Times New Roman"/>
          <w:bCs/>
          <w:sz w:val="24"/>
          <w:szCs w:val="24"/>
          <w:lang w:val="en-GB"/>
        </w:rPr>
        <w:t xml:space="preserve"> (</w:t>
      </w:r>
      <w:r w:rsidR="00192D10" w:rsidRPr="00AC72BF">
        <w:rPr>
          <w:rFonts w:ascii="Times New Roman" w:hAnsi="Times New Roman"/>
          <w:bCs/>
          <w:sz w:val="24"/>
          <w:szCs w:val="24"/>
          <w:lang w:val="en-GB"/>
        </w:rPr>
        <w:t>Prof. Karel Sonka</w:t>
      </w:r>
      <w:r w:rsidR="00192D10">
        <w:rPr>
          <w:rFonts w:ascii="Times New Roman" w:hAnsi="Times New Roman"/>
          <w:bCs/>
          <w:sz w:val="24"/>
          <w:szCs w:val="24"/>
          <w:lang w:val="en-GB"/>
        </w:rPr>
        <w:t>)</w:t>
      </w:r>
      <w:r w:rsidRPr="00B52CB9">
        <w:rPr>
          <w:rFonts w:ascii="Times New Roman" w:hAnsi="Times New Roman"/>
          <w:bCs/>
          <w:sz w:val="24"/>
          <w:szCs w:val="24"/>
          <w:lang w:val="en-GB"/>
        </w:rPr>
        <w:t xml:space="preserve"> </w:t>
      </w:r>
      <w:r>
        <w:rPr>
          <w:rFonts w:ascii="Times New Roman" w:hAnsi="Times New Roman"/>
          <w:bCs/>
          <w:sz w:val="24"/>
          <w:szCs w:val="24"/>
          <w:lang w:val="en-GB"/>
        </w:rPr>
        <w:t>m</w:t>
      </w:r>
      <w:r w:rsidRPr="00B52CB9">
        <w:rPr>
          <w:rFonts w:ascii="Times New Roman" w:hAnsi="Times New Roman"/>
          <w:bCs/>
          <w:sz w:val="24"/>
          <w:szCs w:val="24"/>
          <w:lang w:val="en-GB"/>
        </w:rPr>
        <w:t xml:space="preserve">edicine in 1.LF, </w:t>
      </w:r>
      <w:r>
        <w:rPr>
          <w:rFonts w:ascii="Times New Roman" w:hAnsi="Times New Roman"/>
          <w:bCs/>
          <w:sz w:val="24"/>
          <w:szCs w:val="24"/>
          <w:lang w:val="en-GB"/>
        </w:rPr>
        <w:t>e</w:t>
      </w:r>
      <w:r w:rsidRPr="00B52CB9">
        <w:rPr>
          <w:rFonts w:ascii="Times New Roman" w:hAnsi="Times New Roman"/>
          <w:bCs/>
          <w:sz w:val="24"/>
          <w:szCs w:val="24"/>
          <w:lang w:val="en-GB"/>
        </w:rPr>
        <w:t xml:space="preserve">ncephalopathies and </w:t>
      </w:r>
      <w:r>
        <w:rPr>
          <w:rFonts w:ascii="Times New Roman" w:hAnsi="Times New Roman"/>
          <w:bCs/>
          <w:sz w:val="24"/>
          <w:szCs w:val="24"/>
          <w:lang w:val="en-GB"/>
        </w:rPr>
        <w:t>n</w:t>
      </w:r>
      <w:r w:rsidRPr="00B52CB9">
        <w:rPr>
          <w:rFonts w:ascii="Times New Roman" w:hAnsi="Times New Roman"/>
          <w:bCs/>
          <w:sz w:val="24"/>
          <w:szCs w:val="24"/>
          <w:lang w:val="en-GB"/>
        </w:rPr>
        <w:t xml:space="preserve">europathies in the 2.LF, and </w:t>
      </w:r>
      <w:r>
        <w:rPr>
          <w:rFonts w:ascii="Times New Roman" w:hAnsi="Times New Roman"/>
          <w:bCs/>
          <w:sz w:val="24"/>
          <w:szCs w:val="24"/>
          <w:lang w:val="en-GB"/>
        </w:rPr>
        <w:t>s</w:t>
      </w:r>
      <w:r w:rsidRPr="00B52CB9">
        <w:rPr>
          <w:rFonts w:ascii="Times New Roman" w:hAnsi="Times New Roman"/>
          <w:bCs/>
          <w:sz w:val="24"/>
          <w:szCs w:val="24"/>
          <w:lang w:val="en-GB"/>
        </w:rPr>
        <w:t>troke</w:t>
      </w:r>
      <w:r w:rsidR="00192D10">
        <w:rPr>
          <w:rFonts w:ascii="Times New Roman" w:hAnsi="Times New Roman"/>
          <w:bCs/>
          <w:sz w:val="24"/>
          <w:szCs w:val="24"/>
          <w:lang w:val="en-GB"/>
        </w:rPr>
        <w:t xml:space="preserve"> </w:t>
      </w:r>
      <w:r w:rsidRPr="00B52CB9">
        <w:rPr>
          <w:rFonts w:ascii="Times New Roman" w:hAnsi="Times New Roman"/>
          <w:bCs/>
          <w:sz w:val="24"/>
          <w:szCs w:val="24"/>
          <w:lang w:val="en-GB"/>
        </w:rPr>
        <w:t xml:space="preserve">in LFPI. </w:t>
      </w:r>
    </w:p>
    <w:p w14:paraId="6C2B5E0B" w14:textId="77777777" w:rsidR="00883590" w:rsidRDefault="00883590" w:rsidP="00883590">
      <w:pPr>
        <w:pStyle w:val="Odstavecseseznamem"/>
        <w:spacing w:after="0"/>
        <w:ind w:left="0" w:right="93"/>
        <w:rPr>
          <w:rFonts w:ascii="Times New Roman" w:hAnsi="Times New Roman"/>
          <w:bCs/>
          <w:sz w:val="24"/>
          <w:szCs w:val="24"/>
          <w:lang w:val="en-GB"/>
        </w:rPr>
      </w:pPr>
    </w:p>
    <w:p w14:paraId="2B870B70"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76CE941D" w14:textId="77777777" w:rsidR="00883590" w:rsidRPr="00B52CB9" w:rsidRDefault="00883590" w:rsidP="00883590">
      <w:pPr>
        <w:pStyle w:val="Odstavecseseznamem"/>
        <w:spacing w:after="0"/>
        <w:ind w:left="0" w:right="93"/>
        <w:rPr>
          <w:rFonts w:ascii="Times New Roman" w:hAnsi="Times New Roman"/>
          <w:bCs/>
          <w:sz w:val="24"/>
          <w:szCs w:val="24"/>
          <w:lang w:val="en-GB"/>
        </w:rPr>
      </w:pPr>
    </w:p>
    <w:p w14:paraId="6E1500DD" w14:textId="77777777" w:rsidR="00883590" w:rsidRPr="00B52CB9" w:rsidRDefault="00883590" w:rsidP="00883590">
      <w:pPr>
        <w:ind w:right="93"/>
        <w:rPr>
          <w:rFonts w:ascii="Times New Roman" w:eastAsia="Times New Roman" w:hAnsi="Times New Roman"/>
          <w:color w:val="000000"/>
          <w:sz w:val="24"/>
          <w:szCs w:val="24"/>
          <w:lang w:val="en-GB"/>
        </w:rPr>
      </w:pPr>
      <w:r w:rsidRPr="00B52CB9">
        <w:rPr>
          <w:rFonts w:ascii="Times New Roman" w:eastAsia="Times New Roman" w:hAnsi="Times New Roman"/>
          <w:color w:val="000000"/>
          <w:sz w:val="24"/>
          <w:szCs w:val="24"/>
          <w:lang w:val="en-GB"/>
        </w:rPr>
        <w:t>ENDOCRINOLOGY &amp; METABOLISM</w:t>
      </w:r>
    </w:p>
    <w:p w14:paraId="36CF0084" w14:textId="77777777" w:rsidR="00883590" w:rsidRDefault="00883590" w:rsidP="00883590">
      <w:pPr>
        <w:ind w:right="93"/>
        <w:rPr>
          <w:rFonts w:ascii="Times New Roman" w:hAnsi="Times New Roman"/>
          <w:bCs/>
          <w:sz w:val="24"/>
          <w:szCs w:val="24"/>
          <w:lang w:val="en-GB"/>
        </w:rPr>
      </w:pPr>
      <w:r w:rsidRPr="00B52CB9">
        <w:rPr>
          <w:rFonts w:ascii="Times New Roman" w:hAnsi="Times New Roman"/>
          <w:bCs/>
          <w:sz w:val="24"/>
          <w:szCs w:val="24"/>
          <w:lang w:val="en-GB"/>
        </w:rPr>
        <w:lastRenderedPageBreak/>
        <w:t xml:space="preserve">There are </w:t>
      </w:r>
      <w:r>
        <w:rPr>
          <w:rFonts w:ascii="Times New Roman" w:hAnsi="Times New Roman"/>
          <w:bCs/>
          <w:sz w:val="24"/>
          <w:szCs w:val="24"/>
          <w:lang w:val="en-GB"/>
        </w:rPr>
        <w:t xml:space="preserve">several </w:t>
      </w:r>
      <w:r w:rsidRPr="00B52CB9">
        <w:rPr>
          <w:rFonts w:ascii="Times New Roman" w:hAnsi="Times New Roman"/>
          <w:bCs/>
          <w:sz w:val="24"/>
          <w:szCs w:val="24"/>
          <w:lang w:val="en-GB"/>
        </w:rPr>
        <w:t>highly productive groups that dominate the CUNI landscape in this field. While it may appear that this is all CUNI has to offer in this area, it should be noted that there are other CUNI researchers wh</w:t>
      </w:r>
      <w:r>
        <w:rPr>
          <w:rFonts w:ascii="Times New Roman" w:hAnsi="Times New Roman"/>
          <w:bCs/>
          <w:sz w:val="24"/>
          <w:szCs w:val="24"/>
          <w:lang w:val="en-GB"/>
        </w:rPr>
        <w:t>o, while</w:t>
      </w:r>
      <w:r w:rsidRPr="00B52CB9">
        <w:rPr>
          <w:rFonts w:ascii="Times New Roman" w:hAnsi="Times New Roman"/>
          <w:bCs/>
          <w:sz w:val="24"/>
          <w:szCs w:val="24"/>
          <w:lang w:val="en-GB"/>
        </w:rPr>
        <w:t xml:space="preserve"> producing fewer output</w:t>
      </w:r>
      <w:r>
        <w:rPr>
          <w:rFonts w:ascii="Times New Roman" w:hAnsi="Times New Roman"/>
          <w:bCs/>
          <w:sz w:val="24"/>
          <w:szCs w:val="24"/>
          <w:lang w:val="en-GB"/>
        </w:rPr>
        <w:t>,</w:t>
      </w:r>
      <w:r w:rsidRPr="00B52CB9">
        <w:rPr>
          <w:rFonts w:ascii="Times New Roman" w:hAnsi="Times New Roman"/>
          <w:bCs/>
          <w:sz w:val="24"/>
          <w:szCs w:val="24"/>
          <w:lang w:val="en-GB"/>
        </w:rPr>
        <w:t xml:space="preserve"> nonetheless achieve high quality research especially via collaborations with other institutions. If the Endocrinology &amp; Metabolism field at CUNI, irrespective of the five faculties individual contributions, should reach higher impact, a re-structure and perhaps merging of faculties (or research groups) may be necessary.</w:t>
      </w:r>
    </w:p>
    <w:p w14:paraId="7C1A94D3" w14:textId="77777777" w:rsidR="00883590" w:rsidRPr="00B52CB9" w:rsidRDefault="00883590" w:rsidP="00883590">
      <w:pPr>
        <w:ind w:right="93"/>
        <w:rPr>
          <w:rFonts w:ascii="Times New Roman" w:hAnsi="Times New Roman"/>
          <w:bCs/>
          <w:sz w:val="24"/>
          <w:szCs w:val="24"/>
          <w:lang w:val="en-GB"/>
        </w:rPr>
      </w:pPr>
    </w:p>
    <w:p w14:paraId="22CC4A5B" w14:textId="77777777" w:rsidR="00883590" w:rsidRPr="00B52CB9" w:rsidRDefault="00883590" w:rsidP="00883590">
      <w:pPr>
        <w:ind w:right="93"/>
        <w:rPr>
          <w:rFonts w:ascii="Times New Roman" w:hAnsi="Times New Roman"/>
          <w:bCs/>
          <w:sz w:val="24"/>
          <w:szCs w:val="24"/>
          <w:lang w:val="en-GB"/>
        </w:rPr>
      </w:pPr>
      <w:r w:rsidRPr="00B52CB9">
        <w:rPr>
          <w:rFonts w:ascii="Times New Roman" w:hAnsi="Times New Roman"/>
          <w:bCs/>
          <w:sz w:val="24"/>
          <w:szCs w:val="24"/>
          <w:lang w:val="en-GB"/>
        </w:rPr>
        <w:t>NEPHROLOGY</w:t>
      </w:r>
    </w:p>
    <w:p w14:paraId="124D4786" w14:textId="67EB0AF3" w:rsidR="00883590" w:rsidRDefault="00883590" w:rsidP="00883590">
      <w:pPr>
        <w:pStyle w:val="Odstavecseseznamem"/>
        <w:ind w:left="0" w:right="93"/>
        <w:rPr>
          <w:rFonts w:ascii="Times New Roman" w:hAnsi="Times New Roman"/>
          <w:bCs/>
          <w:sz w:val="24"/>
          <w:szCs w:val="24"/>
          <w:lang w:val="en-GB"/>
        </w:rPr>
      </w:pPr>
      <w:r w:rsidRPr="00B52CB9">
        <w:rPr>
          <w:rFonts w:ascii="Times New Roman" w:hAnsi="Times New Roman"/>
          <w:bCs/>
          <w:sz w:val="24"/>
          <w:szCs w:val="24"/>
          <w:lang w:val="en-GB"/>
        </w:rPr>
        <w:t>There are many highly relevant clinical research outputs in nephrology but there is limited basic science research.  All areas of nephrology are well covered, with different investigators specializing in research in pediatric nephrology, glomerular disease, hemodialysis, transplantation, and acute kidney</w:t>
      </w:r>
      <w:r w:rsidR="004F470C">
        <w:rPr>
          <w:rFonts w:ascii="Times New Roman" w:hAnsi="Times New Roman"/>
          <w:bCs/>
          <w:sz w:val="24"/>
          <w:szCs w:val="24"/>
          <w:lang w:val="en-GB"/>
        </w:rPr>
        <w:t xml:space="preserve"> disease (</w:t>
      </w:r>
      <w:r w:rsidR="004F470C" w:rsidRPr="003F37F1">
        <w:rPr>
          <w:rFonts w:ascii="Times New Roman" w:hAnsi="Times New Roman"/>
          <w:bCs/>
          <w:sz w:val="24"/>
          <w:szCs w:val="24"/>
          <w:lang w:val="en-GB"/>
        </w:rPr>
        <w:t>Dr. Vladimir Tesar</w:t>
      </w:r>
      <w:r w:rsidR="004F470C">
        <w:rPr>
          <w:rFonts w:ascii="Times New Roman" w:hAnsi="Times New Roman"/>
          <w:bCs/>
          <w:sz w:val="24"/>
          <w:szCs w:val="24"/>
          <w:lang w:val="en-GB"/>
        </w:rPr>
        <w:t>, Dr T.Seeman - 1.LF, Dr. Ivan Rychlik -</w:t>
      </w:r>
      <w:r w:rsidR="004F470C" w:rsidRPr="003F37F1">
        <w:rPr>
          <w:rFonts w:ascii="Times New Roman" w:hAnsi="Times New Roman"/>
          <w:bCs/>
          <w:sz w:val="24"/>
          <w:szCs w:val="24"/>
          <w:lang w:val="en-GB"/>
        </w:rPr>
        <w:t xml:space="preserve"> 3.</w:t>
      </w:r>
      <w:r w:rsidR="004F470C">
        <w:rPr>
          <w:rFonts w:ascii="Times New Roman" w:hAnsi="Times New Roman"/>
          <w:bCs/>
          <w:sz w:val="24"/>
          <w:szCs w:val="24"/>
          <w:lang w:val="en-GB"/>
        </w:rPr>
        <w:t>LF</w:t>
      </w:r>
      <w:r w:rsidRPr="00B52CB9">
        <w:rPr>
          <w:rFonts w:ascii="Times New Roman" w:hAnsi="Times New Roman"/>
          <w:bCs/>
          <w:sz w:val="24"/>
          <w:szCs w:val="24"/>
          <w:lang w:val="en-GB"/>
        </w:rPr>
        <w:t>. Maintaining basic science research is often at the expense of clinical research.  In terms of publications, the Charles University is highly competitive internationally. Further development of junior faculty should be an important goal.</w:t>
      </w:r>
    </w:p>
    <w:p w14:paraId="57B87400" w14:textId="77777777" w:rsidR="00883590" w:rsidRDefault="00883590" w:rsidP="00883590">
      <w:pPr>
        <w:pStyle w:val="Odstavecseseznamem"/>
        <w:spacing w:after="0" w:line="360" w:lineRule="auto"/>
        <w:ind w:left="360" w:right="93"/>
        <w:jc w:val="both"/>
        <w:rPr>
          <w:rFonts w:ascii="Times New Roman" w:hAnsi="Times New Roman"/>
          <w:b/>
          <w:bCs/>
          <w:color w:val="FF0000"/>
          <w:sz w:val="24"/>
          <w:szCs w:val="24"/>
          <w:lang w:val="en-GB"/>
        </w:rPr>
      </w:pPr>
    </w:p>
    <w:p w14:paraId="1E6406D5" w14:textId="77777777" w:rsidR="00883590" w:rsidRPr="00B52CB9" w:rsidRDefault="00883590" w:rsidP="00883590">
      <w:pPr>
        <w:pStyle w:val="Odstavecseseznamem"/>
        <w:ind w:left="0" w:right="93"/>
        <w:rPr>
          <w:rFonts w:ascii="Times New Roman" w:hAnsi="Times New Roman"/>
          <w:bCs/>
          <w:sz w:val="24"/>
          <w:szCs w:val="24"/>
          <w:lang w:val="en-GB"/>
        </w:rPr>
      </w:pPr>
    </w:p>
    <w:p w14:paraId="7E66D757" w14:textId="77777777" w:rsidR="00883590" w:rsidRPr="00B52CB9" w:rsidRDefault="00883590" w:rsidP="00883590">
      <w:pPr>
        <w:pStyle w:val="Odstavecseseznamem"/>
        <w:ind w:left="0" w:right="93"/>
        <w:rPr>
          <w:rFonts w:ascii="Times New Roman" w:hAnsi="Times New Roman"/>
          <w:bCs/>
          <w:sz w:val="24"/>
          <w:szCs w:val="24"/>
          <w:lang w:val="en-GB"/>
        </w:rPr>
      </w:pPr>
      <w:r w:rsidRPr="00B52CB9">
        <w:rPr>
          <w:rFonts w:ascii="Times New Roman" w:hAnsi="Times New Roman"/>
          <w:bCs/>
          <w:sz w:val="24"/>
          <w:szCs w:val="24"/>
          <w:lang w:val="en-GB"/>
        </w:rPr>
        <w:t>OBSTETRICS &amp; GYNECOLOGY</w:t>
      </w:r>
    </w:p>
    <w:p w14:paraId="4A602D20" w14:textId="77777777" w:rsidR="00883590" w:rsidRDefault="00883590" w:rsidP="00883590">
      <w:pPr>
        <w:pStyle w:val="Odstavecseseznamem"/>
        <w:ind w:left="0" w:right="93"/>
        <w:rPr>
          <w:rFonts w:ascii="Times New Roman" w:hAnsi="Times New Roman"/>
          <w:color w:val="585858"/>
          <w:sz w:val="24"/>
          <w:szCs w:val="24"/>
          <w:shd w:val="clear" w:color="auto" w:fill="FFFFFF"/>
        </w:rPr>
      </w:pPr>
      <w:r w:rsidRPr="00B52CB9">
        <w:rPr>
          <w:rFonts w:ascii="Times New Roman" w:hAnsi="Times New Roman"/>
          <w:bCs/>
          <w:sz w:val="24"/>
          <w:szCs w:val="24"/>
          <w:lang w:val="en-GB"/>
        </w:rPr>
        <w:t xml:space="preserve">The Departments are focused on providing excellent clinical care, with over 5,000 gynecologic operations performed last year. </w:t>
      </w:r>
      <w:r w:rsidRPr="00B52CB9">
        <w:rPr>
          <w:rFonts w:ascii="Times New Roman" w:hAnsi="Times New Roman"/>
          <w:color w:val="585858"/>
          <w:sz w:val="24"/>
          <w:szCs w:val="24"/>
          <w:shd w:val="clear" w:color="auto" w:fill="FFFFFF"/>
        </w:rPr>
        <w:t>The primary area of research interest of the First Faculty of Medicine is in gynecologic ultrasound. For the Second Faculty of Medicine focus on prematurity, and gynecologic oncology.  In the Third Faculty of Medicine, publications are limited. LFHK focused on the placenta and amniotic fluid.  The university has a very similar number of publications per author and high quality papers per author as the leading universities in Europe. Research does not appear to have a primary emphasis in the Departments of Obstetrics and Gynecology. There are opportunities of collaboration between the strong genetics research at Charles University and obstetrics/gynecology.</w:t>
      </w:r>
    </w:p>
    <w:p w14:paraId="66AFFCAA" w14:textId="77777777" w:rsidR="00883590" w:rsidRDefault="00883590" w:rsidP="00883590">
      <w:pPr>
        <w:pStyle w:val="Odstavecseseznamem"/>
        <w:ind w:left="0" w:right="93"/>
        <w:rPr>
          <w:rFonts w:ascii="Times New Roman" w:hAnsi="Times New Roman"/>
          <w:color w:val="585858"/>
          <w:sz w:val="24"/>
          <w:szCs w:val="24"/>
          <w:shd w:val="clear" w:color="auto" w:fill="FFFFFF"/>
        </w:rPr>
      </w:pPr>
    </w:p>
    <w:p w14:paraId="58B0BDFE" w14:textId="77777777" w:rsidR="00883590" w:rsidRPr="00B52CB9" w:rsidRDefault="00883590" w:rsidP="00883590">
      <w:pPr>
        <w:ind w:right="93"/>
        <w:rPr>
          <w:rFonts w:ascii="Times New Roman" w:hAnsi="Times New Roman"/>
          <w:color w:val="585858"/>
          <w:sz w:val="24"/>
          <w:szCs w:val="24"/>
          <w:shd w:val="clear" w:color="auto" w:fill="FFFFFF"/>
        </w:rPr>
      </w:pPr>
      <w:r w:rsidRPr="00B52CB9">
        <w:rPr>
          <w:rFonts w:ascii="Times New Roman" w:hAnsi="Times New Roman"/>
          <w:color w:val="585858"/>
          <w:sz w:val="24"/>
          <w:szCs w:val="24"/>
          <w:shd w:val="clear" w:color="auto" w:fill="FFFFFF"/>
        </w:rPr>
        <w:t>ONCOLOGY AND HAEMATOLOGY</w:t>
      </w:r>
    </w:p>
    <w:p w14:paraId="0A55B1E8" w14:textId="58DED851" w:rsidR="00C216F4" w:rsidRDefault="00C216F4" w:rsidP="00C216F4">
      <w:pPr>
        <w:rPr>
          <w:rFonts w:ascii="Times New Roman" w:hAnsi="Times New Roman"/>
          <w:sz w:val="24"/>
          <w:szCs w:val="24"/>
        </w:rPr>
      </w:pPr>
      <w:r>
        <w:rPr>
          <w:rFonts w:ascii="Times New Roman" w:hAnsi="Times New Roman"/>
          <w:sz w:val="24"/>
          <w:szCs w:val="24"/>
        </w:rPr>
        <w:t xml:space="preserve">There were nearly 1000 outputs in the field of oncology and haematology which were distributed fairly evenly across the faculties taking into account the differences in staff levels. Although there were some excellent papers in discovery journals, less than 20% of this papers were classified as D1. Noticeably, research into the major five cancer types were poorly represented among these D1 papers and given the health burden represented by these </w:t>
      </w:r>
      <w:r>
        <w:rPr>
          <w:rFonts w:ascii="Times New Roman" w:hAnsi="Times New Roman"/>
          <w:sz w:val="24"/>
          <w:szCs w:val="24"/>
        </w:rPr>
        <w:lastRenderedPageBreak/>
        <w:t xml:space="preserve">cancers this is a disappointing feature. Review of WoS bibliometric data clearly indicated that paediatric leukaemia research particularly in 2LF </w:t>
      </w:r>
      <w:r w:rsidR="004F470C">
        <w:rPr>
          <w:rFonts w:ascii="Times New Roman" w:hAnsi="Times New Roman"/>
          <w:sz w:val="24"/>
          <w:szCs w:val="24"/>
        </w:rPr>
        <w:t>(</w:t>
      </w:r>
      <w:r w:rsidR="004F470C" w:rsidRPr="00AC72BF">
        <w:rPr>
          <w:rFonts w:ascii="Times New Roman" w:hAnsi="Times New Roman"/>
          <w:sz w:val="24"/>
          <w:szCs w:val="24"/>
        </w:rPr>
        <w:t xml:space="preserve">Professors Jan Trka and Jan Stary </w:t>
      </w:r>
      <w:r w:rsidR="004F470C">
        <w:rPr>
          <w:rFonts w:ascii="Times New Roman" w:hAnsi="Times New Roman"/>
          <w:sz w:val="24"/>
          <w:szCs w:val="24"/>
        </w:rPr>
        <w:t>)</w:t>
      </w:r>
      <w:r>
        <w:rPr>
          <w:rFonts w:ascii="Times New Roman" w:hAnsi="Times New Roman"/>
          <w:sz w:val="24"/>
          <w:szCs w:val="24"/>
        </w:rPr>
        <w:t xml:space="preserve">was a major strengthen of CUNI and can be considered a flagship centre of expertise. </w:t>
      </w:r>
      <w:r w:rsidRPr="00B52CB9">
        <w:rPr>
          <w:rFonts w:ascii="Times New Roman" w:hAnsi="Times New Roman"/>
          <w:sz w:val="24"/>
          <w:szCs w:val="24"/>
        </w:rPr>
        <w:t>With respect to international benchmarks, the field of h</w:t>
      </w:r>
      <w:r>
        <w:rPr>
          <w:rFonts w:ascii="Times New Roman" w:hAnsi="Times New Roman"/>
          <w:sz w:val="24"/>
          <w:szCs w:val="24"/>
        </w:rPr>
        <w:t>a</w:t>
      </w:r>
      <w:r w:rsidRPr="00B52CB9">
        <w:rPr>
          <w:rFonts w:ascii="Times New Roman" w:hAnsi="Times New Roman"/>
          <w:sz w:val="24"/>
          <w:szCs w:val="24"/>
        </w:rPr>
        <w:t xml:space="preserve">ematology and oncology CUNI ranks 2nd out of 7 universities </w:t>
      </w:r>
      <w:r>
        <w:rPr>
          <w:rFonts w:ascii="Times New Roman" w:hAnsi="Times New Roman"/>
          <w:sz w:val="24"/>
          <w:szCs w:val="24"/>
        </w:rPr>
        <w:t>but</w:t>
      </w:r>
      <w:r w:rsidRPr="00B52CB9">
        <w:rPr>
          <w:rFonts w:ascii="Times New Roman" w:hAnsi="Times New Roman"/>
          <w:sz w:val="24"/>
          <w:szCs w:val="24"/>
        </w:rPr>
        <w:t xml:space="preserve"> it is last in oncology. </w:t>
      </w:r>
      <w:r>
        <w:rPr>
          <w:rFonts w:ascii="Times New Roman" w:hAnsi="Times New Roman"/>
          <w:sz w:val="24"/>
          <w:szCs w:val="24"/>
        </w:rPr>
        <w:t xml:space="preserve"> This situation is reflected in terms of </w:t>
      </w:r>
      <w:r w:rsidRPr="00B52CB9">
        <w:rPr>
          <w:rFonts w:ascii="Times New Roman" w:hAnsi="Times New Roman"/>
          <w:sz w:val="24"/>
          <w:szCs w:val="24"/>
        </w:rPr>
        <w:t xml:space="preserve"> internal and external grant income of the CUNI oncology and hematology researcher</w:t>
      </w:r>
      <w:r>
        <w:rPr>
          <w:rFonts w:ascii="Times New Roman" w:hAnsi="Times New Roman"/>
          <w:sz w:val="24"/>
          <w:szCs w:val="24"/>
        </w:rPr>
        <w:t>s</w:t>
      </w:r>
      <w:r w:rsidRPr="00B52CB9">
        <w:rPr>
          <w:rFonts w:ascii="Times New Roman" w:hAnsi="Times New Roman"/>
          <w:sz w:val="24"/>
          <w:szCs w:val="24"/>
        </w:rPr>
        <w:t xml:space="preserve">. </w:t>
      </w:r>
      <w:r>
        <w:rPr>
          <w:rFonts w:ascii="Times New Roman" w:hAnsi="Times New Roman"/>
          <w:sz w:val="24"/>
          <w:szCs w:val="24"/>
        </w:rPr>
        <w:t xml:space="preserve">Overall income is low and appears to be decreasing with time. Income grant to paediatric leukaemia researchers is better but not substantial. </w:t>
      </w:r>
      <w:r w:rsidRPr="00B52CB9">
        <w:rPr>
          <w:rFonts w:ascii="Times New Roman" w:hAnsi="Times New Roman"/>
          <w:sz w:val="24"/>
          <w:szCs w:val="24"/>
        </w:rPr>
        <w:t>On the plus side, we note that several CUNI researchers are involved in several EU funded grants.</w:t>
      </w:r>
    </w:p>
    <w:p w14:paraId="0ADE5FF0" w14:textId="77777777" w:rsidR="00883590" w:rsidRPr="00B52CB9" w:rsidRDefault="00883590" w:rsidP="00883590">
      <w:pPr>
        <w:rPr>
          <w:rFonts w:ascii="Times New Roman" w:hAnsi="Times New Roman"/>
          <w:sz w:val="24"/>
          <w:szCs w:val="24"/>
        </w:rPr>
      </w:pPr>
    </w:p>
    <w:p w14:paraId="10133FF3" w14:textId="77777777" w:rsidR="00883590" w:rsidRPr="00B52CB9" w:rsidRDefault="00883590" w:rsidP="00883590">
      <w:pPr>
        <w:rPr>
          <w:rFonts w:ascii="Times New Roman" w:hAnsi="Times New Roman"/>
          <w:sz w:val="24"/>
          <w:szCs w:val="24"/>
        </w:rPr>
      </w:pPr>
      <w:r w:rsidRPr="00B52CB9">
        <w:rPr>
          <w:rFonts w:ascii="Times New Roman" w:hAnsi="Times New Roman"/>
          <w:sz w:val="24"/>
          <w:szCs w:val="24"/>
        </w:rPr>
        <w:t>PHARMACOLOGY &amp; PHARMACY AND TOXICOLOGY</w:t>
      </w:r>
    </w:p>
    <w:p w14:paraId="4D8904E0" w14:textId="7443E965" w:rsidR="00883590" w:rsidRPr="00B52CB9" w:rsidRDefault="00883590" w:rsidP="00883590">
      <w:pPr>
        <w:rPr>
          <w:rFonts w:ascii="Times New Roman" w:hAnsi="Times New Roman"/>
          <w:sz w:val="24"/>
          <w:szCs w:val="24"/>
          <w:lang w:val="en-GB"/>
        </w:rPr>
      </w:pPr>
      <w:r w:rsidRPr="00B52CB9">
        <w:rPr>
          <w:rFonts w:ascii="Times New Roman" w:hAnsi="Times New Roman"/>
          <w:sz w:val="24"/>
          <w:szCs w:val="24"/>
          <w:lang w:val="en-GB"/>
        </w:rPr>
        <w:t xml:space="preserve">The presence of the subfields Pharmacy, Pharmacology and Toxicology at CUNI is </w:t>
      </w:r>
      <w:r>
        <w:rPr>
          <w:rFonts w:ascii="Times New Roman" w:hAnsi="Times New Roman"/>
          <w:sz w:val="24"/>
          <w:szCs w:val="24"/>
          <w:lang w:val="en-GB"/>
        </w:rPr>
        <w:t xml:space="preserve">very </w:t>
      </w:r>
      <w:r w:rsidRPr="00B52CB9">
        <w:rPr>
          <w:rFonts w:ascii="Times New Roman" w:hAnsi="Times New Roman"/>
          <w:sz w:val="24"/>
          <w:szCs w:val="24"/>
          <w:lang w:val="en-GB"/>
        </w:rPr>
        <w:t>solid and internationally recognised. However, the Pharmacy and Pharmacology subfield is much more strongly represented than the Toxicology subfield. In Pharmacy and Pharmacology FaF HK is the flagship faculty in the period 2014-2018</w:t>
      </w:r>
      <w:r w:rsidR="004F470C">
        <w:rPr>
          <w:rFonts w:ascii="Times New Roman" w:hAnsi="Times New Roman"/>
          <w:sz w:val="24"/>
          <w:szCs w:val="24"/>
          <w:lang w:val="en-GB"/>
        </w:rPr>
        <w:t xml:space="preserve"> (Peter Pavek,</w:t>
      </w:r>
      <w:r w:rsidR="00503BC3">
        <w:rPr>
          <w:rFonts w:ascii="Times New Roman" w:hAnsi="Times New Roman"/>
          <w:sz w:val="24"/>
          <w:szCs w:val="24"/>
          <w:lang w:val="en-GB"/>
        </w:rPr>
        <w:t xml:space="preserve"> </w:t>
      </w:r>
      <w:r w:rsidR="00503BC3" w:rsidRPr="00AC72BF">
        <w:rPr>
          <w:rFonts w:ascii="Times New Roman" w:hAnsi="Times New Roman"/>
          <w:sz w:val="24"/>
          <w:szCs w:val="24"/>
          <w:lang w:val="en-US"/>
        </w:rPr>
        <w:t>Frantisek Staud</w:t>
      </w:r>
      <w:r w:rsidR="00503BC3">
        <w:rPr>
          <w:rFonts w:ascii="Times New Roman" w:hAnsi="Times New Roman"/>
          <w:sz w:val="24"/>
          <w:szCs w:val="24"/>
          <w:lang w:val="en-US"/>
        </w:rPr>
        <w:t>)</w:t>
      </w:r>
      <w:r w:rsidRPr="00B52CB9">
        <w:rPr>
          <w:rFonts w:ascii="Times New Roman" w:hAnsi="Times New Roman"/>
          <w:sz w:val="24"/>
          <w:szCs w:val="24"/>
          <w:lang w:val="en-GB"/>
        </w:rPr>
        <w:t>, whereas the flagship institution in Toxicology</w:t>
      </w:r>
      <w:r w:rsidR="00503BC3">
        <w:rPr>
          <w:rFonts w:ascii="Times New Roman" w:hAnsi="Times New Roman"/>
          <w:sz w:val="24"/>
          <w:szCs w:val="24"/>
          <w:lang w:val="en-GB"/>
        </w:rPr>
        <w:t xml:space="preserve"> (</w:t>
      </w:r>
      <w:r w:rsidR="00503BC3" w:rsidRPr="00AC72BF">
        <w:rPr>
          <w:rFonts w:ascii="Times New Roman" w:hAnsi="Times New Roman"/>
          <w:sz w:val="24"/>
          <w:szCs w:val="24"/>
          <w:lang w:val="en-US"/>
        </w:rPr>
        <w:t>Pelclova Daniela</w:t>
      </w:r>
      <w:r w:rsidR="00503BC3">
        <w:rPr>
          <w:rFonts w:ascii="Times New Roman" w:hAnsi="Times New Roman"/>
          <w:sz w:val="24"/>
          <w:szCs w:val="24"/>
          <w:lang w:val="en-US"/>
        </w:rPr>
        <w:t xml:space="preserve">, </w:t>
      </w:r>
      <w:r w:rsidR="00503BC3" w:rsidRPr="00AC72BF">
        <w:rPr>
          <w:rFonts w:ascii="Times New Roman" w:hAnsi="Times New Roman"/>
          <w:sz w:val="24"/>
          <w:szCs w:val="24"/>
          <w:lang w:val="en-US"/>
        </w:rPr>
        <w:t>Sergey Zakharov</w:t>
      </w:r>
      <w:r w:rsidR="00503BC3">
        <w:rPr>
          <w:rFonts w:ascii="Times New Roman" w:hAnsi="Times New Roman"/>
          <w:sz w:val="24"/>
          <w:szCs w:val="24"/>
          <w:lang w:val="en-US"/>
        </w:rPr>
        <w:t>)</w:t>
      </w:r>
      <w:r w:rsidRPr="00B52CB9">
        <w:rPr>
          <w:rFonts w:ascii="Times New Roman" w:hAnsi="Times New Roman"/>
          <w:sz w:val="24"/>
          <w:szCs w:val="24"/>
          <w:lang w:val="en-GB"/>
        </w:rPr>
        <w:t xml:space="preserve"> in the same period is 1.LF.</w:t>
      </w:r>
    </w:p>
    <w:p w14:paraId="1C8CD6AD" w14:textId="77777777" w:rsidR="00883590" w:rsidRPr="00B52CB9" w:rsidRDefault="00883590" w:rsidP="00883590">
      <w:pPr>
        <w:spacing w:after="120"/>
        <w:rPr>
          <w:rFonts w:ascii="Times New Roman" w:hAnsi="Times New Roman"/>
          <w:sz w:val="24"/>
          <w:szCs w:val="24"/>
          <w:lang w:val="en-GB"/>
        </w:rPr>
      </w:pPr>
      <w:r w:rsidRPr="00B52CB9">
        <w:rPr>
          <w:rFonts w:ascii="Times New Roman" w:hAnsi="Times New Roman"/>
          <w:sz w:val="24"/>
          <w:szCs w:val="24"/>
          <w:lang w:val="en-GB"/>
        </w:rPr>
        <w:t>In the top 10%  and top half category papers the scientific subfields Pharmacy and Pharmacology and</w:t>
      </w:r>
      <w:r>
        <w:rPr>
          <w:rFonts w:ascii="Times New Roman" w:hAnsi="Times New Roman"/>
          <w:sz w:val="24"/>
          <w:szCs w:val="24"/>
          <w:lang w:val="en-GB"/>
        </w:rPr>
        <w:t xml:space="preserve"> Toxicology at CUNI are </w:t>
      </w:r>
      <w:r w:rsidRPr="00B52CB9">
        <w:rPr>
          <w:rFonts w:ascii="Times New Roman" w:hAnsi="Times New Roman"/>
          <w:sz w:val="24"/>
          <w:szCs w:val="24"/>
          <w:lang w:val="en-GB"/>
        </w:rPr>
        <w:t>below the European leading benchmark universities. An important conclusion from this analysis is that CUNI authors need to improve their visibility in these subfields be aiming to increase publishing in the top 10% and top half journals.</w:t>
      </w:r>
    </w:p>
    <w:p w14:paraId="62146165" w14:textId="77777777" w:rsidR="00883590" w:rsidRDefault="00883590" w:rsidP="00883590">
      <w:pPr>
        <w:rPr>
          <w:rFonts w:ascii="Times New Roman" w:hAnsi="Times New Roman"/>
          <w:sz w:val="24"/>
          <w:szCs w:val="24"/>
          <w:lang w:val="en-GB"/>
        </w:rPr>
      </w:pPr>
      <w:r w:rsidRPr="00B52CB9">
        <w:rPr>
          <w:rFonts w:ascii="Times New Roman" w:hAnsi="Times New Roman"/>
          <w:sz w:val="24"/>
          <w:szCs w:val="24"/>
          <w:lang w:val="en-GB"/>
        </w:rPr>
        <w:t>In the Pharmacy and Pharmacology and Toxicology subfields  research is frequently carried out within one Faculty or within CUNI collaboration only. Therefore  we strongly recommended that these faculties analyze how to foster international collaboration in order to provide added value to their research and limit the  prevailing inter-CUNI or national collaboration. </w:t>
      </w:r>
    </w:p>
    <w:p w14:paraId="42E94286" w14:textId="77777777" w:rsidR="00883590" w:rsidRDefault="00883590" w:rsidP="00883590">
      <w:pPr>
        <w:rPr>
          <w:rFonts w:ascii="Times New Roman" w:hAnsi="Times New Roman"/>
          <w:sz w:val="24"/>
          <w:szCs w:val="24"/>
          <w:lang w:val="en-GB"/>
        </w:rPr>
      </w:pPr>
    </w:p>
    <w:p w14:paraId="6746F302" w14:textId="77777777" w:rsidR="00883590" w:rsidRPr="00B52CB9" w:rsidRDefault="00883590" w:rsidP="00883590">
      <w:pPr>
        <w:rPr>
          <w:rFonts w:ascii="Times New Roman" w:hAnsi="Times New Roman"/>
          <w:sz w:val="24"/>
          <w:szCs w:val="24"/>
          <w:lang w:val="en-GB"/>
        </w:rPr>
      </w:pPr>
      <w:r w:rsidRPr="00B52CB9">
        <w:rPr>
          <w:rFonts w:ascii="Times New Roman" w:hAnsi="Times New Roman"/>
          <w:sz w:val="24"/>
          <w:szCs w:val="24"/>
          <w:lang w:val="en-GB"/>
        </w:rPr>
        <w:t>PSYCHIATRY AND SEX</w:t>
      </w:r>
      <w:r>
        <w:rPr>
          <w:rFonts w:ascii="Times New Roman" w:hAnsi="Times New Roman"/>
          <w:sz w:val="24"/>
          <w:szCs w:val="24"/>
          <w:lang w:val="en-GB"/>
        </w:rPr>
        <w:t>U</w:t>
      </w:r>
      <w:r w:rsidRPr="00B52CB9">
        <w:rPr>
          <w:rFonts w:ascii="Times New Roman" w:hAnsi="Times New Roman"/>
          <w:sz w:val="24"/>
          <w:szCs w:val="24"/>
          <w:lang w:val="en-GB"/>
        </w:rPr>
        <w:t>OLOGY</w:t>
      </w:r>
    </w:p>
    <w:p w14:paraId="27E574B0" w14:textId="673A03C0" w:rsidR="00883590" w:rsidRPr="00B52CB9"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lastRenderedPageBreak/>
        <w:t>There are 10 D1 articles suitable for evaluation.  Three of them are from 1. LF</w:t>
      </w:r>
      <w:r w:rsidR="00503BC3">
        <w:rPr>
          <w:rFonts w:ascii="Times New Roman" w:hAnsi="Times New Roman"/>
          <w:bCs/>
          <w:sz w:val="24"/>
          <w:szCs w:val="24"/>
          <w:lang w:val="en-GB"/>
        </w:rPr>
        <w:t xml:space="preserve"> (</w:t>
      </w:r>
      <w:r w:rsidR="00503BC3" w:rsidRPr="00AC72BF">
        <w:rPr>
          <w:rFonts w:ascii="Times New Roman" w:hAnsi="Times New Roman"/>
          <w:bCs/>
          <w:sz w:val="24"/>
          <w:szCs w:val="24"/>
          <w:lang w:val="en-GB"/>
        </w:rPr>
        <w:t>Papezova</w:t>
      </w:r>
      <w:r w:rsidR="00503BC3">
        <w:rPr>
          <w:rFonts w:ascii="Times New Roman" w:hAnsi="Times New Roman"/>
          <w:bCs/>
          <w:sz w:val="24"/>
          <w:szCs w:val="24"/>
          <w:lang w:val="en-GB"/>
        </w:rPr>
        <w:t xml:space="preserve">, </w:t>
      </w:r>
      <w:r w:rsidR="00503BC3" w:rsidRPr="00AC72BF">
        <w:rPr>
          <w:rFonts w:ascii="Times New Roman" w:hAnsi="Times New Roman"/>
          <w:bCs/>
          <w:sz w:val="24"/>
          <w:szCs w:val="24"/>
          <w:lang w:val="en-GB"/>
        </w:rPr>
        <w:t>Winkler</w:t>
      </w:r>
      <w:r w:rsidR="00503BC3">
        <w:rPr>
          <w:rFonts w:ascii="Times New Roman" w:hAnsi="Times New Roman"/>
          <w:bCs/>
          <w:sz w:val="24"/>
          <w:szCs w:val="24"/>
          <w:lang w:val="en-GB"/>
        </w:rPr>
        <w:t>)</w:t>
      </w:r>
      <w:r w:rsidRPr="00B52CB9">
        <w:rPr>
          <w:rFonts w:ascii="Times New Roman" w:hAnsi="Times New Roman"/>
          <w:bCs/>
          <w:sz w:val="24"/>
          <w:szCs w:val="24"/>
          <w:lang w:val="en-GB"/>
        </w:rPr>
        <w:t>, all from the department of eating disorders. The main addition to the published studies is providing the genetic material of properly diagnosed patients. The</w:t>
      </w:r>
      <w:r>
        <w:rPr>
          <w:rFonts w:ascii="Times New Roman" w:hAnsi="Times New Roman"/>
          <w:bCs/>
          <w:sz w:val="24"/>
          <w:szCs w:val="24"/>
          <w:lang w:val="en-GB"/>
        </w:rPr>
        <w:t xml:space="preserve"> major benefit of participation in these genetic studies</w:t>
      </w:r>
      <w:r w:rsidRPr="00B52CB9">
        <w:rPr>
          <w:rFonts w:ascii="Times New Roman" w:hAnsi="Times New Roman"/>
          <w:bCs/>
          <w:sz w:val="24"/>
          <w:szCs w:val="24"/>
          <w:lang w:val="en-GB"/>
        </w:rPr>
        <w:t xml:space="preserve"> for CUNI </w:t>
      </w:r>
      <w:r>
        <w:rPr>
          <w:rFonts w:ascii="Times New Roman" w:hAnsi="Times New Roman"/>
          <w:bCs/>
          <w:sz w:val="24"/>
          <w:szCs w:val="24"/>
          <w:lang w:val="en-GB"/>
        </w:rPr>
        <w:t>is the recognition of</w:t>
      </w:r>
      <w:r w:rsidRPr="00B52CB9">
        <w:rPr>
          <w:rFonts w:ascii="Times New Roman" w:hAnsi="Times New Roman"/>
          <w:bCs/>
          <w:sz w:val="24"/>
          <w:szCs w:val="24"/>
          <w:lang w:val="en-GB"/>
        </w:rPr>
        <w:t xml:space="preserve"> this department as a reliable partner for international cooperation and co-authoring in highly recognized journals. </w:t>
      </w:r>
    </w:p>
    <w:p w14:paraId="28BA3910" w14:textId="0CACB6EA" w:rsidR="00883590" w:rsidRPr="00B52CB9"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t>All other articles are from 3. LF</w:t>
      </w:r>
      <w:r w:rsidR="00503BC3">
        <w:rPr>
          <w:rFonts w:ascii="Times New Roman" w:hAnsi="Times New Roman"/>
          <w:bCs/>
          <w:sz w:val="24"/>
          <w:szCs w:val="24"/>
          <w:lang w:val="en-GB"/>
        </w:rPr>
        <w:t xml:space="preserve"> (Prof. C.Hoschl is a departmental and international leader), </w:t>
      </w:r>
      <w:r>
        <w:rPr>
          <w:rFonts w:ascii="Times New Roman" w:hAnsi="Times New Roman"/>
          <w:bCs/>
          <w:sz w:val="24"/>
          <w:szCs w:val="24"/>
          <w:lang w:val="en-GB"/>
        </w:rPr>
        <w:t>and the majority are from authors not primarily affiliated with Charles University</w:t>
      </w:r>
      <w:r w:rsidR="00503BC3">
        <w:rPr>
          <w:rFonts w:ascii="Times New Roman" w:hAnsi="Times New Roman"/>
          <w:bCs/>
          <w:sz w:val="24"/>
          <w:szCs w:val="24"/>
          <w:lang w:val="en-GB"/>
        </w:rPr>
        <w:t xml:space="preserve"> (</w:t>
      </w:r>
      <w:r w:rsidR="00503BC3" w:rsidRPr="00AC72BF">
        <w:rPr>
          <w:rFonts w:ascii="Times New Roman" w:hAnsi="Times New Roman"/>
          <w:bCs/>
          <w:sz w:val="24"/>
          <w:szCs w:val="24"/>
          <w:lang w:val="en-GB"/>
        </w:rPr>
        <w:t>Alda, Hajek</w:t>
      </w:r>
      <w:r w:rsidR="00503BC3">
        <w:rPr>
          <w:rFonts w:ascii="Times New Roman" w:hAnsi="Times New Roman"/>
          <w:bCs/>
          <w:sz w:val="24"/>
          <w:szCs w:val="24"/>
          <w:lang w:val="en-GB"/>
        </w:rPr>
        <w:t>)</w:t>
      </w:r>
      <w:r>
        <w:rPr>
          <w:rFonts w:ascii="Times New Roman" w:hAnsi="Times New Roman"/>
          <w:bCs/>
          <w:sz w:val="24"/>
          <w:szCs w:val="24"/>
          <w:lang w:val="en-GB"/>
        </w:rPr>
        <w:t>.</w:t>
      </w:r>
      <w:r w:rsidR="00503BC3">
        <w:rPr>
          <w:rFonts w:ascii="Times New Roman" w:hAnsi="Times New Roman"/>
          <w:bCs/>
          <w:sz w:val="24"/>
          <w:szCs w:val="24"/>
          <w:lang w:val="en-GB"/>
        </w:rPr>
        <w:t xml:space="preserve"> </w:t>
      </w:r>
    </w:p>
    <w:p w14:paraId="0B2BEC57" w14:textId="77777777" w:rsidR="00883590" w:rsidRPr="00B52CB9"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t>There are several research fields with both high attractivity and level of scientific work (e.g. MRI in psychiatry, psychotropic substances for treatment of mental disorders).  The authors from 1</w:t>
      </w:r>
      <w:r w:rsidRPr="00B52CB9">
        <w:rPr>
          <w:rFonts w:ascii="Times New Roman" w:hAnsi="Times New Roman"/>
          <w:bCs/>
          <w:sz w:val="24"/>
          <w:szCs w:val="24"/>
          <w:vertAlign w:val="superscript"/>
          <w:lang w:val="en-GB"/>
        </w:rPr>
        <w:t>st</w:t>
      </w:r>
      <w:r w:rsidRPr="00B52CB9">
        <w:rPr>
          <w:rFonts w:ascii="Times New Roman" w:hAnsi="Times New Roman"/>
          <w:bCs/>
          <w:sz w:val="24"/>
          <w:szCs w:val="24"/>
          <w:lang w:val="en-GB"/>
        </w:rPr>
        <w:t xml:space="preserve"> Faculty have the largest number of publications in general. They cover a broad spectrum of subfields in psychiatry including sexology, there is no a clear leading research topic. Psychiatry in 2</w:t>
      </w:r>
      <w:r w:rsidRPr="00B52CB9">
        <w:rPr>
          <w:rFonts w:ascii="Times New Roman" w:hAnsi="Times New Roman"/>
          <w:bCs/>
          <w:sz w:val="24"/>
          <w:szCs w:val="24"/>
          <w:vertAlign w:val="superscript"/>
          <w:lang w:val="en-GB"/>
        </w:rPr>
        <w:t>nd</w:t>
      </w:r>
      <w:r w:rsidRPr="00B52CB9">
        <w:rPr>
          <w:rFonts w:ascii="Times New Roman" w:hAnsi="Times New Roman"/>
          <w:bCs/>
          <w:sz w:val="24"/>
          <w:szCs w:val="24"/>
          <w:lang w:val="en-GB"/>
        </w:rPr>
        <w:t xml:space="preserve"> Faculty of Medicine is oriented to child psychiatry and child autism is recently extremely important field of interest. Faculty of Medicine Hradec Kralove is involved in international teams in publications on genetics and epigenetics in psychiatry. Faculty of Medicine in Pilsen has less research and publication activity</w:t>
      </w:r>
      <w:r>
        <w:rPr>
          <w:rFonts w:ascii="Times New Roman" w:hAnsi="Times New Roman"/>
          <w:bCs/>
          <w:sz w:val="24"/>
          <w:szCs w:val="24"/>
          <w:lang w:val="en-GB"/>
        </w:rPr>
        <w:t xml:space="preserve"> in the genetic basis of violence, a rising field of interest.</w:t>
      </w:r>
      <w:r w:rsidRPr="00B52CB9">
        <w:rPr>
          <w:rFonts w:ascii="Times New Roman" w:hAnsi="Times New Roman"/>
          <w:bCs/>
          <w:sz w:val="24"/>
          <w:szCs w:val="24"/>
          <w:lang w:val="en-GB"/>
        </w:rPr>
        <w:t xml:space="preserve"> </w:t>
      </w:r>
    </w:p>
    <w:p w14:paraId="2F166AB2" w14:textId="77777777" w:rsidR="00883590"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t>CUNI is comparable to the benchmark Universities.</w:t>
      </w:r>
    </w:p>
    <w:p w14:paraId="0A080523" w14:textId="77777777" w:rsidR="00883590" w:rsidRDefault="00883590" w:rsidP="00883590">
      <w:pPr>
        <w:pStyle w:val="Odstavecseseznamem"/>
        <w:spacing w:after="0"/>
        <w:ind w:left="0"/>
        <w:rPr>
          <w:rFonts w:ascii="Times New Roman" w:hAnsi="Times New Roman"/>
          <w:bCs/>
          <w:sz w:val="24"/>
          <w:szCs w:val="24"/>
          <w:lang w:val="en-GB"/>
        </w:rPr>
      </w:pPr>
    </w:p>
    <w:p w14:paraId="48E314FF" w14:textId="77777777" w:rsidR="00883590" w:rsidRPr="00B52CB9" w:rsidRDefault="00883590" w:rsidP="00883590">
      <w:pPr>
        <w:pStyle w:val="Odstavecseseznamem"/>
        <w:spacing w:after="0"/>
        <w:ind w:left="0"/>
        <w:rPr>
          <w:rFonts w:ascii="Times New Roman" w:hAnsi="Times New Roman"/>
          <w:bCs/>
          <w:sz w:val="24"/>
          <w:szCs w:val="24"/>
          <w:lang w:val="en-GB"/>
        </w:rPr>
      </w:pPr>
    </w:p>
    <w:p w14:paraId="4AA94B69" w14:textId="77777777" w:rsidR="00883590" w:rsidRPr="00B52CB9" w:rsidRDefault="00883590" w:rsidP="00883590">
      <w:pPr>
        <w:pStyle w:val="Odstavecseseznamem"/>
        <w:spacing w:after="0"/>
        <w:ind w:left="0"/>
        <w:rPr>
          <w:rFonts w:ascii="Times New Roman" w:hAnsi="Times New Roman"/>
          <w:bCs/>
          <w:sz w:val="24"/>
          <w:szCs w:val="24"/>
          <w:lang w:val="en-GB"/>
        </w:rPr>
      </w:pPr>
      <w:r w:rsidRPr="00B52CB9">
        <w:rPr>
          <w:rFonts w:ascii="Times New Roman" w:hAnsi="Times New Roman"/>
          <w:bCs/>
          <w:sz w:val="24"/>
          <w:szCs w:val="24"/>
          <w:lang w:val="en-GB"/>
        </w:rPr>
        <w:t>SURGERY</w:t>
      </w:r>
    </w:p>
    <w:p w14:paraId="5BBECDA4" w14:textId="376F9D3A" w:rsidR="00883590" w:rsidRDefault="00883590" w:rsidP="00883590">
      <w:pPr>
        <w:pStyle w:val="Odstavecseseznamem"/>
        <w:spacing w:after="0"/>
        <w:ind w:left="0"/>
        <w:rPr>
          <w:rFonts w:ascii="Times New Roman" w:hAnsi="Times New Roman"/>
          <w:sz w:val="24"/>
          <w:szCs w:val="24"/>
          <w:lang w:val="en-US"/>
        </w:rPr>
      </w:pPr>
      <w:r w:rsidRPr="00B52CB9">
        <w:rPr>
          <w:rFonts w:ascii="Times New Roman" w:hAnsi="Times New Roman"/>
          <w:sz w:val="24"/>
          <w:szCs w:val="24"/>
          <w:lang w:val="en-US"/>
        </w:rPr>
        <w:t xml:space="preserve">The </w:t>
      </w:r>
      <w:r>
        <w:rPr>
          <w:rFonts w:ascii="Times New Roman" w:hAnsi="Times New Roman"/>
          <w:sz w:val="24"/>
          <w:szCs w:val="24"/>
          <w:lang w:val="en-US"/>
        </w:rPr>
        <w:t xml:space="preserve">academic </w:t>
      </w:r>
      <w:r w:rsidRPr="00B52CB9">
        <w:rPr>
          <w:rFonts w:ascii="Times New Roman" w:hAnsi="Times New Roman"/>
          <w:sz w:val="24"/>
          <w:szCs w:val="24"/>
          <w:lang w:val="en-US"/>
        </w:rPr>
        <w:t>outputs are on the low side, which creates an inherent inability to evaluate this area in depth. The 1.LF appears to be most productive faculty</w:t>
      </w:r>
      <w:r>
        <w:rPr>
          <w:rFonts w:ascii="Times New Roman" w:hAnsi="Times New Roman"/>
          <w:sz w:val="24"/>
          <w:szCs w:val="24"/>
          <w:lang w:val="en-US"/>
        </w:rPr>
        <w:t>,</w:t>
      </w:r>
      <w:r w:rsidRPr="00B52CB9">
        <w:rPr>
          <w:rFonts w:ascii="Times New Roman" w:hAnsi="Times New Roman"/>
          <w:sz w:val="24"/>
          <w:szCs w:val="24"/>
          <w:lang w:val="en-US"/>
        </w:rPr>
        <w:t xml:space="preserve"> and the sub-specialty of General Surgery is the most actively published area</w:t>
      </w:r>
      <w:r w:rsidR="003C7E1E">
        <w:rPr>
          <w:rFonts w:ascii="Times New Roman" w:hAnsi="Times New Roman"/>
          <w:sz w:val="24"/>
          <w:szCs w:val="24"/>
          <w:lang w:val="en-US"/>
        </w:rPr>
        <w:t xml:space="preserve"> (</w:t>
      </w:r>
      <w:r w:rsidR="003C7E1E" w:rsidRPr="00640B81">
        <w:rPr>
          <w:rFonts w:ascii="Times New Roman" w:hAnsi="Times New Roman"/>
          <w:b/>
          <w:bCs/>
          <w:sz w:val="24"/>
          <w:szCs w:val="24"/>
        </w:rPr>
        <w:t>Tomas Harustiak</w:t>
      </w:r>
      <w:r w:rsidR="003C7E1E">
        <w:rPr>
          <w:rFonts w:ascii="Times New Roman" w:hAnsi="Times New Roman"/>
          <w:b/>
          <w:bCs/>
          <w:sz w:val="24"/>
          <w:szCs w:val="24"/>
        </w:rPr>
        <w:t xml:space="preserve">, </w:t>
      </w:r>
      <w:r w:rsidR="003C7E1E" w:rsidRPr="00640B81">
        <w:rPr>
          <w:rFonts w:ascii="Times New Roman" w:hAnsi="Times New Roman"/>
          <w:b/>
          <w:bCs/>
          <w:sz w:val="24"/>
          <w:szCs w:val="24"/>
        </w:rPr>
        <w:t>Alan Stolz</w:t>
      </w:r>
      <w:r w:rsidR="003C7E1E">
        <w:rPr>
          <w:rFonts w:ascii="Times New Roman" w:hAnsi="Times New Roman"/>
          <w:sz w:val="24"/>
          <w:szCs w:val="24"/>
        </w:rPr>
        <w:t xml:space="preserve"> -</w:t>
      </w:r>
      <w:r w:rsidR="003C7E1E" w:rsidRPr="00AC72BF">
        <w:rPr>
          <w:rFonts w:ascii="Times New Roman" w:hAnsi="Times New Roman"/>
          <w:sz w:val="24"/>
          <w:szCs w:val="24"/>
        </w:rPr>
        <w:t>1.LF</w:t>
      </w:r>
      <w:r w:rsidR="003C7E1E">
        <w:rPr>
          <w:rFonts w:ascii="Times New Roman" w:hAnsi="Times New Roman"/>
          <w:sz w:val="24"/>
          <w:szCs w:val="24"/>
        </w:rPr>
        <w:t xml:space="preserve">, </w:t>
      </w:r>
      <w:r w:rsidR="003C7E1E" w:rsidRPr="00640B81">
        <w:rPr>
          <w:rFonts w:ascii="Times New Roman" w:hAnsi="Times New Roman"/>
          <w:b/>
          <w:bCs/>
          <w:sz w:val="24"/>
          <w:szCs w:val="24"/>
        </w:rPr>
        <w:t>Filip Cecka</w:t>
      </w:r>
      <w:r w:rsidR="003C7E1E">
        <w:rPr>
          <w:rFonts w:ascii="Times New Roman" w:hAnsi="Times New Roman"/>
          <w:sz w:val="24"/>
          <w:szCs w:val="24"/>
        </w:rPr>
        <w:t xml:space="preserve"> –</w:t>
      </w:r>
      <w:r w:rsidR="003C7E1E" w:rsidRPr="00AC72BF">
        <w:rPr>
          <w:rFonts w:ascii="Times New Roman" w:hAnsi="Times New Roman"/>
          <w:sz w:val="24"/>
          <w:szCs w:val="24"/>
        </w:rPr>
        <w:t>LFHK</w:t>
      </w:r>
      <w:r w:rsidR="003C7E1E">
        <w:rPr>
          <w:rFonts w:ascii="Times New Roman" w:hAnsi="Times New Roman"/>
          <w:sz w:val="24"/>
          <w:szCs w:val="24"/>
        </w:rPr>
        <w:t xml:space="preserve">) </w:t>
      </w:r>
      <w:r w:rsidRPr="00B52CB9">
        <w:rPr>
          <w:rFonts w:ascii="Times New Roman" w:hAnsi="Times New Roman"/>
          <w:sz w:val="24"/>
          <w:szCs w:val="24"/>
          <w:lang w:val="en-US"/>
        </w:rPr>
        <w:t>. The very low level of D1 publications with respect to the other fields in medicine, may be due to insufficient staff that is too busy with clinical activities to pursue publications</w:t>
      </w:r>
      <w:r>
        <w:rPr>
          <w:rFonts w:ascii="Times New Roman" w:hAnsi="Times New Roman"/>
          <w:sz w:val="24"/>
          <w:szCs w:val="24"/>
          <w:lang w:val="en-US"/>
        </w:rPr>
        <w:t>,</w:t>
      </w:r>
      <w:r w:rsidRPr="00B52CB9">
        <w:rPr>
          <w:rFonts w:ascii="Times New Roman" w:hAnsi="Times New Roman"/>
          <w:sz w:val="24"/>
          <w:szCs w:val="24"/>
          <w:lang w:val="en-US"/>
        </w:rPr>
        <w:t xml:space="preserve"> and/or there may not be defined research associates with protected research time and could be due to the burden of having to earn a clinical income from seeing patients and carrying out surgeries, which leaves little time for research.  Sufficient “protected” research time is key in producing quality research and mandatory for lab bench science (at least 50-70% protected time is recommended for designated personnel to yield significant outputs).  This of course means that the funding formula of clinician-researches has to be reviewed and a new model needs to include “hard” money for the research activities.  </w:t>
      </w:r>
    </w:p>
    <w:p w14:paraId="41E3E5E5" w14:textId="77777777" w:rsidR="00883590" w:rsidRDefault="00883590" w:rsidP="00883590">
      <w:pPr>
        <w:pStyle w:val="Odstavecseseznamem"/>
        <w:spacing w:after="0"/>
        <w:ind w:left="0"/>
        <w:rPr>
          <w:rFonts w:ascii="Times New Roman" w:hAnsi="Times New Roman"/>
          <w:sz w:val="24"/>
          <w:szCs w:val="24"/>
          <w:lang w:val="en-US"/>
        </w:rPr>
      </w:pPr>
    </w:p>
    <w:p w14:paraId="02BF2246" w14:textId="77777777" w:rsidR="00883590" w:rsidRPr="00B52CB9" w:rsidRDefault="00883590" w:rsidP="00883590">
      <w:pPr>
        <w:pStyle w:val="Odstavecseseznamem"/>
        <w:spacing w:after="0"/>
        <w:ind w:left="0"/>
        <w:rPr>
          <w:rFonts w:ascii="Times New Roman" w:hAnsi="Times New Roman"/>
          <w:sz w:val="24"/>
          <w:szCs w:val="24"/>
          <w:lang w:val="en-US"/>
        </w:rPr>
      </w:pPr>
    </w:p>
    <w:p w14:paraId="79929578" w14:textId="1D41767C" w:rsidR="00883590" w:rsidRPr="00B52CB9" w:rsidRDefault="00883590" w:rsidP="00883590">
      <w:pPr>
        <w:rPr>
          <w:rFonts w:ascii="Times New Roman" w:hAnsi="Times New Roman"/>
          <w:b/>
          <w:bCs/>
          <w:sz w:val="24"/>
          <w:szCs w:val="24"/>
          <w:lang w:val="en-GB"/>
        </w:rPr>
      </w:pPr>
      <w:r w:rsidRPr="00B52CB9">
        <w:rPr>
          <w:rFonts w:ascii="Times New Roman" w:hAnsi="Times New Roman"/>
          <w:b/>
          <w:bCs/>
          <w:sz w:val="24"/>
          <w:szCs w:val="24"/>
          <w:lang w:val="en-GB"/>
        </w:rPr>
        <w:t>Contribution of individual CU units to the field/area development</w:t>
      </w:r>
      <w:r w:rsidR="009622CC">
        <w:rPr>
          <w:rFonts w:ascii="Times New Roman" w:hAnsi="Times New Roman"/>
          <w:b/>
          <w:bCs/>
          <w:sz w:val="24"/>
          <w:szCs w:val="24"/>
          <w:lang w:val="en-GB"/>
        </w:rPr>
        <w:t xml:space="preserve"> (FORD Clasification)</w:t>
      </w:r>
    </w:p>
    <w:p w14:paraId="077D05B9" w14:textId="77777777" w:rsidR="00883590" w:rsidRPr="00B52CB9" w:rsidRDefault="00883590" w:rsidP="00883590">
      <w:pPr>
        <w:pStyle w:val="Odstavecseseznamem"/>
        <w:spacing w:after="0"/>
        <w:ind w:left="0"/>
        <w:rPr>
          <w:rFonts w:ascii="Times New Roman" w:hAnsi="Times New Roman"/>
          <w:sz w:val="24"/>
          <w:szCs w:val="24"/>
          <w:lang w:val="en-US"/>
        </w:rPr>
      </w:pPr>
    </w:p>
    <w:p w14:paraId="7787D4BA" w14:textId="1793D43A" w:rsidR="003C7E1E"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lastRenderedPageBreak/>
        <w:t xml:space="preserve">Taking into account the headcount of </w:t>
      </w:r>
      <w:r w:rsidR="009622CC">
        <w:rPr>
          <w:rFonts w:ascii="Times New Roman" w:hAnsi="Times New Roman"/>
          <w:bCs/>
          <w:sz w:val="24"/>
          <w:szCs w:val="24"/>
          <w:lang w:val="en-GB"/>
        </w:rPr>
        <w:t xml:space="preserve">specialised </w:t>
      </w:r>
      <w:r w:rsidRPr="00B52CB9">
        <w:rPr>
          <w:rFonts w:ascii="Times New Roman" w:hAnsi="Times New Roman"/>
          <w:bCs/>
          <w:sz w:val="24"/>
          <w:szCs w:val="24"/>
          <w:lang w:val="en-GB"/>
        </w:rPr>
        <w:t>authors/researchers, the output in Basic Medicine on average is more or less equally distributed with slightly higher output from 2.LF and LFPL and slightly lower from FaF HK. However</w:t>
      </w:r>
      <w:r>
        <w:rPr>
          <w:rFonts w:ascii="Times New Roman" w:hAnsi="Times New Roman"/>
          <w:bCs/>
          <w:sz w:val="24"/>
          <w:szCs w:val="24"/>
          <w:lang w:val="en-GB"/>
        </w:rPr>
        <w:t>,</w:t>
      </w:r>
      <w:r w:rsidRPr="00B52CB9">
        <w:rPr>
          <w:rFonts w:ascii="Times New Roman" w:hAnsi="Times New Roman"/>
          <w:bCs/>
          <w:sz w:val="24"/>
          <w:szCs w:val="24"/>
          <w:lang w:val="en-GB"/>
        </w:rPr>
        <w:t xml:space="preserve"> the latter had a  better proportion of higher quality papers. </w:t>
      </w:r>
    </w:p>
    <w:p w14:paraId="62514E9D" w14:textId="49109015" w:rsidR="00883590" w:rsidRPr="00B52CB9"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 xml:space="preserve">For clinical medicine, there was </w:t>
      </w:r>
      <w:r w:rsidR="003C7E1E">
        <w:rPr>
          <w:rFonts w:ascii="Times New Roman" w:hAnsi="Times New Roman"/>
          <w:bCs/>
          <w:sz w:val="24"/>
          <w:szCs w:val="24"/>
          <w:lang w:val="en-GB"/>
        </w:rPr>
        <w:t>higher</w:t>
      </w:r>
      <w:r w:rsidRPr="00B52CB9">
        <w:rPr>
          <w:rFonts w:ascii="Times New Roman" w:hAnsi="Times New Roman"/>
          <w:bCs/>
          <w:sz w:val="24"/>
          <w:szCs w:val="24"/>
          <w:lang w:val="en-GB"/>
        </w:rPr>
        <w:t xml:space="preserve"> output</w:t>
      </w:r>
      <w:r w:rsidR="003C7E1E">
        <w:rPr>
          <w:rFonts w:ascii="Times New Roman" w:hAnsi="Times New Roman"/>
          <w:bCs/>
          <w:sz w:val="24"/>
          <w:szCs w:val="24"/>
          <w:lang w:val="en-GB"/>
        </w:rPr>
        <w:t xml:space="preserve"> of top 10% papers from 1.LF and 2.LF</w:t>
      </w:r>
      <w:r w:rsidRPr="00B52CB9">
        <w:rPr>
          <w:rFonts w:ascii="Times New Roman" w:hAnsi="Times New Roman"/>
          <w:bCs/>
          <w:sz w:val="24"/>
          <w:szCs w:val="24"/>
          <w:lang w:val="en-GB"/>
        </w:rPr>
        <w:t xml:space="preserve">,  </w:t>
      </w:r>
      <w:r w:rsidR="003C7E1E">
        <w:rPr>
          <w:rFonts w:ascii="Times New Roman" w:hAnsi="Times New Roman"/>
          <w:bCs/>
          <w:sz w:val="24"/>
          <w:szCs w:val="24"/>
          <w:lang w:val="en-GB"/>
        </w:rPr>
        <w:t>and</w:t>
      </w:r>
      <w:r w:rsidRPr="00B52CB9">
        <w:rPr>
          <w:rFonts w:ascii="Times New Roman" w:hAnsi="Times New Roman"/>
          <w:bCs/>
          <w:sz w:val="24"/>
          <w:szCs w:val="24"/>
          <w:lang w:val="en-GB"/>
        </w:rPr>
        <w:t xml:space="preserve"> lower outputs </w:t>
      </w:r>
      <w:r>
        <w:rPr>
          <w:rFonts w:ascii="Times New Roman" w:hAnsi="Times New Roman"/>
          <w:bCs/>
          <w:sz w:val="24"/>
          <w:szCs w:val="24"/>
          <w:lang w:val="en-GB"/>
        </w:rPr>
        <w:t>in</w:t>
      </w:r>
      <w:r w:rsidRPr="00B52CB9">
        <w:rPr>
          <w:rFonts w:ascii="Times New Roman" w:hAnsi="Times New Roman"/>
          <w:bCs/>
          <w:sz w:val="24"/>
          <w:szCs w:val="24"/>
          <w:lang w:val="en-GB"/>
        </w:rPr>
        <w:t xml:space="preserve"> top half papers</w:t>
      </w:r>
      <w:r w:rsidR="003C7E1E">
        <w:rPr>
          <w:rFonts w:ascii="Times New Roman" w:hAnsi="Times New Roman"/>
          <w:bCs/>
          <w:sz w:val="24"/>
          <w:szCs w:val="24"/>
          <w:lang w:val="en-GB"/>
        </w:rPr>
        <w:t xml:space="preserve"> from </w:t>
      </w:r>
      <w:r w:rsidR="003C7E1E" w:rsidRPr="00B52CB9">
        <w:rPr>
          <w:rFonts w:ascii="Times New Roman" w:hAnsi="Times New Roman"/>
          <w:bCs/>
          <w:sz w:val="24"/>
          <w:szCs w:val="24"/>
          <w:lang w:val="en-GB"/>
        </w:rPr>
        <w:t>LFHK</w:t>
      </w:r>
      <w:r w:rsidR="003C7E1E">
        <w:rPr>
          <w:rFonts w:ascii="Times New Roman" w:hAnsi="Times New Roman"/>
          <w:bCs/>
          <w:sz w:val="24"/>
          <w:szCs w:val="24"/>
          <w:lang w:val="en-GB"/>
        </w:rPr>
        <w:t xml:space="preserve"> and LFPl</w:t>
      </w:r>
      <w:r w:rsidRPr="00B52CB9">
        <w:rPr>
          <w:rFonts w:ascii="Times New Roman" w:hAnsi="Times New Roman"/>
          <w:bCs/>
          <w:sz w:val="24"/>
          <w:szCs w:val="24"/>
          <w:lang w:val="en-GB"/>
        </w:rPr>
        <w:t>.</w:t>
      </w:r>
    </w:p>
    <w:p w14:paraId="4CE2A991" w14:textId="77777777" w:rsidR="00883590" w:rsidRDefault="00883590" w:rsidP="00883590">
      <w:pPr>
        <w:rPr>
          <w:rFonts w:ascii="Times New Roman" w:hAnsi="Times New Roman"/>
          <w:bCs/>
          <w:sz w:val="24"/>
          <w:szCs w:val="24"/>
          <w:lang w:val="en-GB"/>
        </w:rPr>
      </w:pPr>
      <w:r w:rsidRPr="00B52CB9">
        <w:rPr>
          <w:rFonts w:ascii="Times New Roman" w:hAnsi="Times New Roman"/>
          <w:bCs/>
          <w:sz w:val="24"/>
          <w:szCs w:val="24"/>
          <w:lang w:val="en-GB"/>
        </w:rPr>
        <w:t>The interpretation of output in Health Sciences is biased with low proportion of major authors shares, which might benefit the average papers/author ratio.</w:t>
      </w:r>
      <w:r>
        <w:rPr>
          <w:rFonts w:ascii="Times New Roman" w:hAnsi="Times New Roman"/>
          <w:bCs/>
          <w:sz w:val="24"/>
          <w:szCs w:val="24"/>
          <w:lang w:val="en-GB"/>
        </w:rPr>
        <w:t xml:space="preserve"> </w:t>
      </w:r>
    </w:p>
    <w:p w14:paraId="2E8FF5D8" w14:textId="77777777" w:rsidR="00883590" w:rsidRDefault="00883590" w:rsidP="00883590">
      <w:pPr>
        <w:rPr>
          <w:rFonts w:ascii="Times New Roman" w:hAnsi="Times New Roman"/>
          <w:bCs/>
          <w:sz w:val="24"/>
          <w:szCs w:val="24"/>
          <w:lang w:val="en-GB"/>
        </w:rPr>
      </w:pPr>
      <w:r>
        <w:rPr>
          <w:rFonts w:ascii="Times New Roman" w:hAnsi="Times New Roman"/>
          <w:bCs/>
          <w:sz w:val="24"/>
          <w:szCs w:val="24"/>
          <w:lang w:val="en-GB"/>
        </w:rPr>
        <w:t>Pharmacology  and Toxicology is difficult to interpret as in FORD is included in Basic Medicine and in CUNI as separate field.</w:t>
      </w:r>
    </w:p>
    <w:p w14:paraId="63D734F6" w14:textId="77777777" w:rsidR="00883590" w:rsidRDefault="00883590" w:rsidP="00883590">
      <w:pPr>
        <w:rPr>
          <w:rFonts w:ascii="Times New Roman" w:hAnsi="Times New Roman"/>
          <w:bCs/>
          <w:sz w:val="24"/>
          <w:szCs w:val="24"/>
          <w:lang w:val="en-GB"/>
        </w:rPr>
      </w:pPr>
    </w:p>
    <w:p w14:paraId="740815F0" w14:textId="77777777" w:rsidR="00883590" w:rsidRPr="00D55669" w:rsidRDefault="00883590" w:rsidP="00883590">
      <w:pPr>
        <w:rPr>
          <w:rFonts w:ascii="Times New Roman" w:hAnsi="Times New Roman"/>
          <w:b/>
          <w:bCs/>
          <w:sz w:val="24"/>
          <w:szCs w:val="24"/>
        </w:rPr>
      </w:pPr>
      <w:r w:rsidRPr="00D55669">
        <w:rPr>
          <w:rFonts w:ascii="Times New Roman" w:hAnsi="Times New Roman"/>
          <w:b/>
          <w:bCs/>
          <w:sz w:val="24"/>
          <w:szCs w:val="24"/>
        </w:rPr>
        <w:t>International collaboration and visibility</w:t>
      </w:r>
    </w:p>
    <w:p w14:paraId="753E9E4E" w14:textId="77777777" w:rsidR="00883590" w:rsidRPr="006350BD" w:rsidRDefault="00883590" w:rsidP="00883590">
      <w:pPr>
        <w:rPr>
          <w:rFonts w:ascii="Times New Roman" w:hAnsi="Times New Roman"/>
          <w:bCs/>
          <w:sz w:val="24"/>
          <w:szCs w:val="24"/>
        </w:rPr>
      </w:pPr>
    </w:p>
    <w:p w14:paraId="7E4C1BEE" w14:textId="3EE3644A" w:rsidR="00883590" w:rsidRPr="006350BD" w:rsidRDefault="00883590" w:rsidP="00883590">
      <w:pPr>
        <w:rPr>
          <w:rFonts w:ascii="Times New Roman" w:hAnsi="Times New Roman"/>
          <w:bCs/>
          <w:sz w:val="24"/>
          <w:szCs w:val="24"/>
        </w:rPr>
      </w:pPr>
      <w:r w:rsidRPr="006350BD">
        <w:rPr>
          <w:rFonts w:ascii="Times New Roman" w:hAnsi="Times New Roman"/>
          <w:bCs/>
          <w:sz w:val="24"/>
          <w:szCs w:val="24"/>
        </w:rPr>
        <w:t>The medical faculties in their self-assessment reports presented examples of internationally recognised scholars. The importance of some of these listings is difficult to assess but overall there is evidence that all assessment units are internationally connected and have some degree of international recognition. There are several examples of high calibre individual awards (e.g. Prof Widimsky at LF3 and Prof Svec at FaF HK</w:t>
      </w:r>
      <w:r w:rsidR="00C216F4">
        <w:rPr>
          <w:rFonts w:ascii="Times New Roman" w:hAnsi="Times New Roman"/>
          <w:bCs/>
          <w:sz w:val="24"/>
          <w:szCs w:val="24"/>
        </w:rPr>
        <w:t xml:space="preserve"> and Professor Jan Stary at 2LF</w:t>
      </w:r>
      <w:r w:rsidR="00C216F4" w:rsidRPr="006350BD">
        <w:rPr>
          <w:rFonts w:ascii="Times New Roman" w:hAnsi="Times New Roman"/>
          <w:bCs/>
          <w:sz w:val="24"/>
          <w:szCs w:val="24"/>
        </w:rPr>
        <w:t>)</w:t>
      </w:r>
      <w:r w:rsidRPr="006350BD">
        <w:rPr>
          <w:rFonts w:ascii="Times New Roman" w:hAnsi="Times New Roman"/>
          <w:bCs/>
          <w:sz w:val="24"/>
          <w:szCs w:val="24"/>
        </w:rPr>
        <w:t>)</w:t>
      </w:r>
      <w:r>
        <w:rPr>
          <w:rFonts w:ascii="Times New Roman" w:hAnsi="Times New Roman"/>
          <w:bCs/>
          <w:sz w:val="24"/>
          <w:szCs w:val="24"/>
        </w:rPr>
        <w:t>,</w:t>
      </w:r>
      <w:r w:rsidRPr="006350BD">
        <w:rPr>
          <w:rFonts w:ascii="Times New Roman" w:hAnsi="Times New Roman"/>
          <w:bCs/>
          <w:sz w:val="24"/>
          <w:szCs w:val="24"/>
        </w:rPr>
        <w:t xml:space="preserve"> indicating very solid international reputation. Several CUNI academics are editors of high quality journals and further members of staff are members of editorial boards. </w:t>
      </w:r>
    </w:p>
    <w:p w14:paraId="48D87491" w14:textId="77777777" w:rsidR="00883590" w:rsidRPr="006350BD" w:rsidRDefault="00883590" w:rsidP="00883590">
      <w:pPr>
        <w:rPr>
          <w:rFonts w:ascii="Times New Roman" w:hAnsi="Times New Roman"/>
          <w:bCs/>
          <w:sz w:val="24"/>
          <w:szCs w:val="24"/>
          <w:lang w:val="en-GB"/>
        </w:rPr>
      </w:pPr>
      <w:r w:rsidRPr="006350BD">
        <w:rPr>
          <w:rFonts w:ascii="Times New Roman" w:hAnsi="Times New Roman"/>
          <w:bCs/>
          <w:sz w:val="24"/>
          <w:szCs w:val="24"/>
        </w:rPr>
        <w:t>Each faculty reported guest lectures of CUNI staff at international universit</w:t>
      </w:r>
      <w:r>
        <w:rPr>
          <w:rFonts w:ascii="Times New Roman" w:hAnsi="Times New Roman"/>
          <w:bCs/>
          <w:sz w:val="24"/>
          <w:szCs w:val="24"/>
        </w:rPr>
        <w:t>ies</w:t>
      </w:r>
      <w:r w:rsidRPr="006350BD">
        <w:rPr>
          <w:rFonts w:ascii="Times New Roman" w:hAnsi="Times New Roman"/>
          <w:bCs/>
          <w:sz w:val="24"/>
          <w:szCs w:val="24"/>
        </w:rPr>
        <w:t xml:space="preserve"> and vice versa. Each assessment unit also reports receiving funding for international collaborative projects</w:t>
      </w:r>
      <w:r>
        <w:rPr>
          <w:rFonts w:ascii="Times New Roman" w:hAnsi="Times New Roman"/>
          <w:bCs/>
          <w:sz w:val="24"/>
          <w:szCs w:val="24"/>
        </w:rPr>
        <w:t>,</w:t>
      </w:r>
      <w:r w:rsidRPr="006350BD">
        <w:rPr>
          <w:rFonts w:ascii="Times New Roman" w:hAnsi="Times New Roman"/>
          <w:bCs/>
          <w:sz w:val="24"/>
          <w:szCs w:val="24"/>
        </w:rPr>
        <w:t xml:space="preserve"> but the distribution among the 6 assessment units is very unequal. By far the most international projects have been conducted at LF1</w:t>
      </w:r>
      <w:r>
        <w:rPr>
          <w:rFonts w:ascii="Times New Roman" w:hAnsi="Times New Roman"/>
          <w:bCs/>
          <w:sz w:val="24"/>
          <w:szCs w:val="24"/>
        </w:rPr>
        <w:t xml:space="preserve">; </w:t>
      </w:r>
      <w:r w:rsidRPr="006350BD">
        <w:rPr>
          <w:rFonts w:ascii="Times New Roman" w:hAnsi="Times New Roman"/>
          <w:bCs/>
          <w:sz w:val="24"/>
          <w:szCs w:val="24"/>
        </w:rPr>
        <w:t xml:space="preserve">the funds raised by the </w:t>
      </w:r>
      <w:r>
        <w:rPr>
          <w:rFonts w:ascii="Times New Roman" w:hAnsi="Times New Roman"/>
          <w:bCs/>
          <w:sz w:val="24"/>
          <w:szCs w:val="24"/>
        </w:rPr>
        <w:t xml:space="preserve">international competitive grants </w:t>
      </w:r>
      <w:r w:rsidRPr="006350BD">
        <w:rPr>
          <w:rFonts w:ascii="Times New Roman" w:hAnsi="Times New Roman"/>
          <w:bCs/>
          <w:sz w:val="24"/>
          <w:szCs w:val="24"/>
        </w:rPr>
        <w:t xml:space="preserve">have been </w:t>
      </w:r>
      <w:r>
        <w:rPr>
          <w:rFonts w:ascii="Times New Roman" w:hAnsi="Times New Roman"/>
          <w:bCs/>
          <w:sz w:val="24"/>
          <w:szCs w:val="24"/>
        </w:rPr>
        <w:t xml:space="preserve">also </w:t>
      </w:r>
      <w:r w:rsidRPr="006350BD">
        <w:rPr>
          <w:rFonts w:ascii="Times New Roman" w:hAnsi="Times New Roman"/>
          <w:bCs/>
          <w:sz w:val="24"/>
          <w:szCs w:val="24"/>
        </w:rPr>
        <w:t xml:space="preserve">the </w:t>
      </w:r>
      <w:r>
        <w:rPr>
          <w:rFonts w:ascii="Times New Roman" w:hAnsi="Times New Roman"/>
          <w:bCs/>
          <w:sz w:val="24"/>
          <w:szCs w:val="24"/>
        </w:rPr>
        <w:t xml:space="preserve">at </w:t>
      </w:r>
      <w:r w:rsidRPr="006350BD">
        <w:rPr>
          <w:rFonts w:ascii="Times New Roman" w:hAnsi="Times New Roman"/>
          <w:bCs/>
          <w:sz w:val="24"/>
          <w:szCs w:val="24"/>
        </w:rPr>
        <w:t xml:space="preserve">1.LF (2 million €). The collaboration of assessment units outside Prague has been very modest. </w:t>
      </w:r>
    </w:p>
    <w:p w14:paraId="32FCC94D" w14:textId="77777777" w:rsidR="00883590" w:rsidRPr="006350BD" w:rsidRDefault="00883590" w:rsidP="00883590">
      <w:pPr>
        <w:rPr>
          <w:rFonts w:ascii="Times New Roman" w:hAnsi="Times New Roman"/>
          <w:sz w:val="24"/>
          <w:szCs w:val="24"/>
        </w:rPr>
      </w:pPr>
      <w:r w:rsidRPr="006350BD">
        <w:rPr>
          <w:rFonts w:ascii="Times New Roman" w:hAnsi="Times New Roman"/>
          <w:bCs/>
          <w:sz w:val="24"/>
          <w:szCs w:val="24"/>
        </w:rPr>
        <w:t xml:space="preserve">An alternative measure of international collaborations, and the importance of CUNI partners in such collaborations, is the proportion of papers of CUNI authors who were first or last authors in scientific papers. </w:t>
      </w:r>
      <w:r w:rsidRPr="006350BD">
        <w:rPr>
          <w:rFonts w:ascii="Times New Roman" w:hAnsi="Times New Roman"/>
          <w:sz w:val="24"/>
          <w:szCs w:val="24"/>
        </w:rPr>
        <w:t xml:space="preserve">Only 21% of papers in D1 category had a CUNI author as first or last author. This share was increasing with declining journal importance, so that 80% of papers published in D4 journals had CUNI authors as first or/and last author. This suggests that in CUNI academics are relatively unlikely to lead the research reported in high quality journals. </w:t>
      </w:r>
    </w:p>
    <w:p w14:paraId="26C354A8" w14:textId="77777777" w:rsidR="00883590" w:rsidRPr="006350BD" w:rsidRDefault="00883590" w:rsidP="00883590">
      <w:pPr>
        <w:rPr>
          <w:rFonts w:ascii="Times New Roman" w:hAnsi="Times New Roman"/>
          <w:sz w:val="24"/>
          <w:szCs w:val="24"/>
        </w:rPr>
      </w:pPr>
      <w:r w:rsidRPr="006350BD">
        <w:rPr>
          <w:rFonts w:ascii="Times New Roman" w:hAnsi="Times New Roman"/>
          <w:sz w:val="24"/>
          <w:szCs w:val="24"/>
        </w:rPr>
        <w:lastRenderedPageBreak/>
        <w:t xml:space="preserve">While there are members of CUNI staff with good international links and memberships in editorial boards and other bodies, the number of international research collaborations of all assessment units is small. There also is an indication that in most of such collaborations CUNI researchers do not play a leading role. </w:t>
      </w:r>
    </w:p>
    <w:p w14:paraId="2E938806" w14:textId="77777777" w:rsidR="00883590" w:rsidRPr="006350BD" w:rsidRDefault="00883590" w:rsidP="00883590">
      <w:pPr>
        <w:rPr>
          <w:rFonts w:ascii="Times New Roman" w:hAnsi="Times New Roman"/>
          <w:sz w:val="24"/>
          <w:szCs w:val="24"/>
        </w:rPr>
      </w:pPr>
    </w:p>
    <w:p w14:paraId="6CD62398" w14:textId="77777777" w:rsidR="00883590" w:rsidRPr="006350BD" w:rsidRDefault="00883590" w:rsidP="00883590">
      <w:pPr>
        <w:rPr>
          <w:rFonts w:ascii="Times New Roman" w:hAnsi="Times New Roman"/>
          <w:sz w:val="24"/>
          <w:szCs w:val="24"/>
        </w:rPr>
      </w:pPr>
      <w:r w:rsidRPr="006350BD">
        <w:rPr>
          <w:rFonts w:ascii="Times New Roman" w:hAnsi="Times New Roman"/>
          <w:sz w:val="24"/>
          <w:szCs w:val="24"/>
        </w:rPr>
        <w:t xml:space="preserve">The </w:t>
      </w:r>
      <w:r>
        <w:rPr>
          <w:rFonts w:ascii="Times New Roman" w:hAnsi="Times New Roman"/>
          <w:sz w:val="24"/>
          <w:szCs w:val="24"/>
        </w:rPr>
        <w:t xml:space="preserve">low </w:t>
      </w:r>
      <w:r w:rsidRPr="006350BD">
        <w:rPr>
          <w:rFonts w:ascii="Times New Roman" w:hAnsi="Times New Roman"/>
          <w:sz w:val="24"/>
          <w:szCs w:val="24"/>
        </w:rPr>
        <w:t xml:space="preserve">participation in EU research programmes is particularly </w:t>
      </w:r>
      <w:r>
        <w:rPr>
          <w:rFonts w:ascii="Times New Roman" w:hAnsi="Times New Roman"/>
          <w:sz w:val="24"/>
          <w:szCs w:val="24"/>
        </w:rPr>
        <w:t>disappointing</w:t>
      </w:r>
      <w:r w:rsidRPr="006350BD">
        <w:rPr>
          <w:rFonts w:ascii="Times New Roman" w:hAnsi="Times New Roman"/>
          <w:sz w:val="24"/>
          <w:szCs w:val="24"/>
        </w:rPr>
        <w:t>. It is difficult to achieve a high successful rate in applications for competitive funding (currently CUNI holds 8 ERC grants) or leading international consortia (80 FP7, H2020 projects,  20 among them are Marie Skłodowska Curie projects) but should be possible to participate as partners in such consortia (H2020, Horizon Europe). This may be a realistic way to build international visibility and recognition. CUNI staff with existing international connections will be instrumental to help their institutions to increase their participation in international projects.</w:t>
      </w:r>
    </w:p>
    <w:p w14:paraId="70064253" w14:textId="77777777" w:rsidR="00883590" w:rsidRPr="006350BD" w:rsidRDefault="00883590" w:rsidP="00883590">
      <w:pPr>
        <w:rPr>
          <w:rFonts w:ascii="Times New Roman" w:hAnsi="Times New Roman"/>
          <w:b/>
          <w:bCs/>
          <w:sz w:val="24"/>
          <w:szCs w:val="24"/>
        </w:rPr>
      </w:pPr>
      <w:r w:rsidRPr="006350BD">
        <w:rPr>
          <w:rFonts w:ascii="Times New Roman" w:hAnsi="Times New Roman"/>
          <w:b/>
          <w:bCs/>
          <w:sz w:val="24"/>
          <w:szCs w:val="24"/>
        </w:rPr>
        <w:t xml:space="preserve">Environment for junior researchers and PhD students </w:t>
      </w:r>
    </w:p>
    <w:p w14:paraId="3B2B4FAE" w14:textId="77777777" w:rsidR="00883590" w:rsidRPr="006350BD" w:rsidRDefault="00883590" w:rsidP="00883590">
      <w:pPr>
        <w:rPr>
          <w:rFonts w:ascii="Times New Roman" w:hAnsi="Times New Roman"/>
          <w:b/>
          <w:bCs/>
          <w:sz w:val="24"/>
          <w:szCs w:val="24"/>
        </w:rPr>
      </w:pPr>
    </w:p>
    <w:p w14:paraId="079CA4D9" w14:textId="77777777" w:rsidR="00883590" w:rsidRPr="006350BD" w:rsidRDefault="00883590" w:rsidP="00883590">
      <w:pPr>
        <w:rPr>
          <w:rFonts w:ascii="Times New Roman" w:hAnsi="Times New Roman"/>
          <w:bCs/>
          <w:sz w:val="24"/>
          <w:szCs w:val="24"/>
        </w:rPr>
      </w:pPr>
      <w:r w:rsidRPr="006350BD">
        <w:rPr>
          <w:rFonts w:ascii="Times New Roman" w:hAnsi="Times New Roman"/>
          <w:bCs/>
          <w:sz w:val="24"/>
          <w:szCs w:val="24"/>
        </w:rPr>
        <w:t xml:space="preserve">All CUNI medical schools and the Faculty of Pharmacy provide PhD training, and there are a number of schemes and some funding additional to the national support for PhD students. Depending on unit assessment, students have opportunities to gain experience abroad, often using the European Erasmus scheme. Most students work with senior researchers or teams. Some faculties operate specific recruitment schemes for recruiting PhD students and (less often) for retaining good students but this is restricted by lack of funding. </w:t>
      </w:r>
    </w:p>
    <w:p w14:paraId="1F6CDC1F" w14:textId="77777777" w:rsidR="00883590" w:rsidRPr="006350BD" w:rsidRDefault="00883590" w:rsidP="00883590">
      <w:pPr>
        <w:rPr>
          <w:rFonts w:ascii="Times New Roman" w:hAnsi="Times New Roman"/>
          <w:bCs/>
          <w:sz w:val="24"/>
          <w:szCs w:val="24"/>
        </w:rPr>
      </w:pPr>
    </w:p>
    <w:p w14:paraId="2E454916" w14:textId="77777777" w:rsidR="00883590" w:rsidRPr="006350BD" w:rsidRDefault="00883590" w:rsidP="00883590">
      <w:pPr>
        <w:rPr>
          <w:rFonts w:ascii="Times New Roman" w:hAnsi="Times New Roman"/>
          <w:bCs/>
          <w:sz w:val="24"/>
          <w:szCs w:val="24"/>
        </w:rPr>
      </w:pPr>
      <w:r w:rsidRPr="006350BD">
        <w:rPr>
          <w:rFonts w:ascii="Times New Roman" w:hAnsi="Times New Roman"/>
          <w:bCs/>
          <w:sz w:val="24"/>
          <w:szCs w:val="24"/>
        </w:rPr>
        <w:t>However, there is a striking lack of post</w:t>
      </w:r>
      <w:r>
        <w:rPr>
          <w:rFonts w:ascii="Times New Roman" w:hAnsi="Times New Roman"/>
          <w:bCs/>
          <w:sz w:val="24"/>
          <w:szCs w:val="24"/>
        </w:rPr>
        <w:t>-doctoral</w:t>
      </w:r>
      <w:r w:rsidRPr="006350BD">
        <w:rPr>
          <w:rFonts w:ascii="Times New Roman" w:hAnsi="Times New Roman"/>
          <w:bCs/>
          <w:sz w:val="24"/>
          <w:szCs w:val="24"/>
        </w:rPr>
        <w:t xml:space="preserve"> positionss in all assessment units; in 2018, </w:t>
      </w:r>
      <w:r>
        <w:rPr>
          <w:rFonts w:ascii="Times New Roman" w:hAnsi="Times New Roman"/>
          <w:bCs/>
          <w:sz w:val="24"/>
          <w:szCs w:val="24"/>
        </w:rPr>
        <w:t xml:space="preserve">with </w:t>
      </w:r>
      <w:r w:rsidRPr="006350BD">
        <w:rPr>
          <w:rFonts w:ascii="Times New Roman" w:hAnsi="Times New Roman"/>
          <w:bCs/>
          <w:sz w:val="24"/>
          <w:szCs w:val="24"/>
        </w:rPr>
        <w:t xml:space="preserve">only 7 postdocs across the five medical schools. </w:t>
      </w:r>
    </w:p>
    <w:p w14:paraId="43EE0BED" w14:textId="77777777" w:rsidR="00883590" w:rsidRPr="006350BD" w:rsidRDefault="00883590" w:rsidP="00883590">
      <w:pPr>
        <w:rPr>
          <w:rFonts w:ascii="Times New Roman" w:hAnsi="Times New Roman"/>
          <w:bCs/>
          <w:sz w:val="24"/>
          <w:szCs w:val="24"/>
        </w:rPr>
      </w:pPr>
    </w:p>
    <w:p w14:paraId="1E4C670E" w14:textId="77777777" w:rsidR="00883590" w:rsidRDefault="00883590" w:rsidP="00883590">
      <w:pPr>
        <w:rPr>
          <w:rFonts w:ascii="Times New Roman" w:hAnsi="Times New Roman"/>
          <w:sz w:val="24"/>
          <w:szCs w:val="24"/>
        </w:rPr>
      </w:pPr>
      <w:r w:rsidRPr="006350BD">
        <w:rPr>
          <w:rFonts w:ascii="Times New Roman" w:hAnsi="Times New Roman"/>
          <w:sz w:val="24"/>
          <w:szCs w:val="24"/>
        </w:rPr>
        <w:t xml:space="preserve">The numbers of PhD students seem reasonably high but the quality of the training and of the research they undertake is difficult to assess. There does not seem any systematic effort to retain the best PhD students at the university. There are very few postdocs in all CUNI medical schools and Faculty of pharmcy; this is possibly related to low retention of good PhD students. While the low number of postdoc positions is probably related to lack of funding, one should consider that even internationally much of the research work often depends on having sufficient number of junior staff dedicated </w:t>
      </w:r>
      <w:r w:rsidRPr="006350BD">
        <w:rPr>
          <w:rFonts w:ascii="Times New Roman" w:hAnsi="Times New Roman"/>
          <w:sz w:val="24"/>
          <w:szCs w:val="24"/>
        </w:rPr>
        <w:lastRenderedPageBreak/>
        <w:t xml:space="preserve">to research (i.e. full time on research). It is unrealistic to expect junior staff employed on clinical appointments to be able to conduct high quality research in their spare time. </w:t>
      </w:r>
    </w:p>
    <w:p w14:paraId="741A4366" w14:textId="77777777" w:rsidR="00883590" w:rsidRPr="006350BD" w:rsidRDefault="00883590" w:rsidP="00883590">
      <w:pPr>
        <w:rPr>
          <w:rFonts w:ascii="Times New Roman" w:hAnsi="Times New Roman"/>
          <w:sz w:val="24"/>
          <w:szCs w:val="24"/>
        </w:rPr>
      </w:pPr>
      <w:r>
        <w:rPr>
          <w:rFonts w:ascii="Times New Roman" w:hAnsi="Times New Roman"/>
          <w:sz w:val="24"/>
          <w:szCs w:val="24"/>
        </w:rPr>
        <w:t>The panel recommend to establish one Research advisory Board for Medicine across the five medical faculties to coordinate the effort and stimulate subfield with D1, Q1 outputs and having CUNI researchers in the leading positions and established Postdoc programs.</w:t>
      </w:r>
    </w:p>
    <w:p w14:paraId="475B8790" w14:textId="77777777" w:rsidR="00883590" w:rsidRPr="00B52CB9" w:rsidRDefault="00883590" w:rsidP="00883590">
      <w:pPr>
        <w:rPr>
          <w:rFonts w:ascii="Times New Roman" w:hAnsi="Times New Roman"/>
          <w:sz w:val="24"/>
          <w:szCs w:val="24"/>
        </w:rPr>
      </w:pPr>
    </w:p>
    <w:p w14:paraId="1D6C708A" w14:textId="77777777" w:rsidR="00883590" w:rsidRPr="00B52CB9" w:rsidRDefault="00883590" w:rsidP="00883590">
      <w:pPr>
        <w:rPr>
          <w:rFonts w:ascii="Times New Roman" w:hAnsi="Times New Roman"/>
          <w:b/>
          <w:sz w:val="24"/>
          <w:szCs w:val="24"/>
        </w:rPr>
      </w:pPr>
      <w:r w:rsidRPr="00B52CB9">
        <w:rPr>
          <w:rFonts w:ascii="Times New Roman" w:hAnsi="Times New Roman"/>
          <w:b/>
          <w:sz w:val="24"/>
          <w:szCs w:val="24"/>
        </w:rPr>
        <w:t>FINAL CONCLUSION</w:t>
      </w:r>
    </w:p>
    <w:p w14:paraId="64260DB6" w14:textId="77777777" w:rsidR="00883590" w:rsidRPr="00B52CB9" w:rsidRDefault="00883590" w:rsidP="00883590">
      <w:pPr>
        <w:rPr>
          <w:rFonts w:ascii="Times New Roman" w:hAnsi="Times New Roman"/>
          <w:b/>
          <w:sz w:val="24"/>
          <w:szCs w:val="24"/>
        </w:rPr>
      </w:pPr>
    </w:p>
    <w:p w14:paraId="22E8E612" w14:textId="77777777" w:rsidR="00883590" w:rsidRPr="003A3BBE" w:rsidRDefault="00883590" w:rsidP="00883590">
      <w:pPr>
        <w:rPr>
          <w:rFonts w:ascii="Times New Roman" w:hAnsi="Times New Roman"/>
          <w:color w:val="0E101A"/>
          <w:lang w:val="en-GB"/>
        </w:rPr>
      </w:pPr>
      <w:r w:rsidRPr="006350BD">
        <w:rPr>
          <w:rFonts w:ascii="Times New Roman" w:hAnsi="Times New Roman"/>
          <w:color w:val="0E101A"/>
          <w:sz w:val="24"/>
          <w:szCs w:val="24"/>
          <w:lang w:val="en-GB"/>
        </w:rPr>
        <w:t xml:space="preserve">Considering the sub-optimal </w:t>
      </w:r>
      <w:r>
        <w:rPr>
          <w:rFonts w:ascii="Times New Roman" w:hAnsi="Times New Roman"/>
          <w:color w:val="0E101A"/>
          <w:sz w:val="24"/>
          <w:szCs w:val="24"/>
          <w:lang w:val="en-GB"/>
        </w:rPr>
        <w:t>financial</w:t>
      </w:r>
      <w:r w:rsidRPr="006350BD">
        <w:rPr>
          <w:rFonts w:ascii="Times New Roman" w:hAnsi="Times New Roman"/>
          <w:color w:val="0E101A"/>
          <w:sz w:val="24"/>
          <w:szCs w:val="24"/>
          <w:lang w:val="en-GB"/>
        </w:rPr>
        <w:t xml:space="preserve"> resources, the overall research output of the Medical faculties of CUNI is remarkable. There is a potential for improvement to match with benchmark universities</w:t>
      </w:r>
      <w:r w:rsidRPr="003A3BBE">
        <w:rPr>
          <w:rFonts w:ascii="Times New Roman" w:hAnsi="Times New Roman"/>
          <w:color w:val="0E101A"/>
          <w:lang w:val="en-GB"/>
        </w:rPr>
        <w:t>;</w:t>
      </w:r>
    </w:p>
    <w:p w14:paraId="5BCF0A0B" w14:textId="77777777"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Increase amount of institutional grants to allow long term strategic planing of research programs by financing postdocs and PhD's</w:t>
      </w:r>
    </w:p>
    <w:p w14:paraId="30C1291B" w14:textId="77777777"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Stimulate collaboration among the five faculties focusing on multi-center studies, i.e. RCT's</w:t>
      </w:r>
    </w:p>
    <w:p w14:paraId="62610349" w14:textId="6E18490C" w:rsidR="0025593F" w:rsidRPr="00E93C7A" w:rsidRDefault="0025593F" w:rsidP="00D34B56">
      <w:pPr>
        <w:numPr>
          <w:ilvl w:val="0"/>
          <w:numId w:val="5"/>
        </w:numPr>
        <w:spacing w:after="100" w:line="253" w:lineRule="atLeast"/>
        <w:rPr>
          <w:rFonts w:eastAsia="Times New Roman"/>
          <w:lang w:val="en-GB"/>
        </w:rPr>
      </w:pPr>
      <w:r w:rsidRPr="00E93C7A">
        <w:rPr>
          <w:rFonts w:ascii="Times New Roman" w:eastAsia="Times New Roman" w:hAnsi="Times New Roman"/>
          <w:sz w:val="24"/>
          <w:szCs w:val="24"/>
          <w:lang w:val="en-GB"/>
        </w:rPr>
        <w:t>Introduce systematic training in research methods (study design, data analysis) and in writing grant applications and scientific publications for PhD students and junior members of staff.</w:t>
      </w:r>
    </w:p>
    <w:p w14:paraId="7D52B3DE" w14:textId="77777777"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 xml:space="preserve">Stimulate and reward participation in international research activities and European projects. </w:t>
      </w:r>
    </w:p>
    <w:p w14:paraId="68CB3B4A" w14:textId="7020574D"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Award high quality publications in Top 10% AIS Journals. Quality above quantity</w:t>
      </w:r>
      <w:r>
        <w:rPr>
          <w:rFonts w:ascii="Times New Roman" w:eastAsia="Times New Roman" w:hAnsi="Times New Roman"/>
          <w:color w:val="0E101A"/>
          <w:sz w:val="24"/>
          <w:szCs w:val="24"/>
          <w:lang w:val="en-GB"/>
        </w:rPr>
        <w:t>.</w:t>
      </w:r>
    </w:p>
    <w:p w14:paraId="11F96AD0" w14:textId="77777777" w:rsidR="00C216F4" w:rsidRDefault="00C216F4" w:rsidP="00C216F4">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 xml:space="preserve">Establish links between the faculties and across disciplines to share best practice and peer review grants prior to submission in order to improve success rates. This is particularly important for EU grants. </w:t>
      </w:r>
    </w:p>
    <w:p w14:paraId="57AE7899" w14:textId="744AB4C0" w:rsidR="00883590" w:rsidRDefault="00C216F4" w:rsidP="00C216F4">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 xml:space="preserve">Establish centres of excellence across the faculties to leverage top quality research as well as pool resources and facilitates. This will also help to avoid duplication and be more strategic in terms of grant submission. </w:t>
      </w:r>
      <w:r w:rsidRPr="002B2494">
        <w:rPr>
          <w:rFonts w:ascii="Times New Roman" w:eastAsia="Times New Roman" w:hAnsi="Times New Roman"/>
          <w:color w:val="0E101A"/>
          <w:sz w:val="24"/>
          <w:szCs w:val="24"/>
          <w:lang w:val="en-GB"/>
        </w:rPr>
        <w:t xml:space="preserve"> </w:t>
      </w:r>
    </w:p>
    <w:p w14:paraId="710531E4" w14:textId="77777777" w:rsidR="00C216F4" w:rsidRPr="00C216F4" w:rsidRDefault="00C216F4" w:rsidP="00750784">
      <w:pPr>
        <w:spacing w:after="0"/>
        <w:ind w:left="720"/>
        <w:rPr>
          <w:rFonts w:ascii="Times New Roman" w:eastAsia="Times New Roman" w:hAnsi="Times New Roman"/>
          <w:color w:val="0E101A"/>
          <w:sz w:val="24"/>
          <w:szCs w:val="24"/>
          <w:lang w:val="en-GB"/>
        </w:rPr>
      </w:pPr>
    </w:p>
    <w:p w14:paraId="5B5562F1" w14:textId="77777777" w:rsidR="00883590" w:rsidRPr="006350BD" w:rsidRDefault="00883590" w:rsidP="00883590">
      <w:pPr>
        <w:rPr>
          <w:rFonts w:ascii="Times New Roman" w:hAnsi="Times New Roman"/>
          <w:color w:val="0E101A"/>
          <w:sz w:val="24"/>
          <w:szCs w:val="24"/>
          <w:lang w:val="en-GB"/>
        </w:rPr>
      </w:pPr>
      <w:r w:rsidRPr="006350BD">
        <w:rPr>
          <w:rFonts w:ascii="Times New Roman" w:hAnsi="Times New Roman"/>
          <w:color w:val="0E101A"/>
          <w:sz w:val="24"/>
          <w:szCs w:val="24"/>
          <w:lang w:val="en-GB"/>
        </w:rPr>
        <w:t>The system of five Medical Faculties in one University is unusual</w:t>
      </w:r>
      <w:r>
        <w:rPr>
          <w:rFonts w:ascii="Times New Roman" w:hAnsi="Times New Roman"/>
          <w:color w:val="0E101A"/>
          <w:sz w:val="24"/>
          <w:szCs w:val="24"/>
          <w:lang w:val="en-GB"/>
        </w:rPr>
        <w:t xml:space="preserve"> and unique</w:t>
      </w:r>
      <w:r w:rsidRPr="006350BD">
        <w:rPr>
          <w:rFonts w:ascii="Times New Roman" w:hAnsi="Times New Roman"/>
          <w:color w:val="0E101A"/>
          <w:sz w:val="24"/>
          <w:szCs w:val="24"/>
          <w:lang w:val="en-GB"/>
        </w:rPr>
        <w:t xml:space="preserve">. </w:t>
      </w:r>
      <w:r>
        <w:rPr>
          <w:rFonts w:ascii="Times New Roman" w:hAnsi="Times New Roman"/>
          <w:color w:val="0E101A"/>
          <w:sz w:val="24"/>
          <w:szCs w:val="24"/>
          <w:lang w:val="en-GB"/>
        </w:rPr>
        <w:t xml:space="preserve">Advantages of this system include the ability to pool resources and patient populations, as in the Prague Trials.  Disadvantages include the difficulties of organization of long-term research.  </w:t>
      </w:r>
      <w:r w:rsidRPr="006350BD">
        <w:rPr>
          <w:rFonts w:ascii="Times New Roman" w:hAnsi="Times New Roman"/>
          <w:color w:val="0E101A"/>
          <w:sz w:val="24"/>
          <w:szCs w:val="24"/>
          <w:lang w:val="en-GB"/>
        </w:rPr>
        <w:t>For long term research</w:t>
      </w:r>
      <w:r>
        <w:rPr>
          <w:rFonts w:ascii="Times New Roman" w:hAnsi="Times New Roman"/>
          <w:color w:val="0E101A"/>
          <w:sz w:val="24"/>
          <w:szCs w:val="24"/>
          <w:lang w:val="en-GB"/>
        </w:rPr>
        <w:t xml:space="preserve"> </w:t>
      </w:r>
      <w:r w:rsidRPr="006350BD">
        <w:rPr>
          <w:rFonts w:ascii="Times New Roman" w:hAnsi="Times New Roman"/>
          <w:color w:val="0E101A"/>
          <w:sz w:val="24"/>
          <w:szCs w:val="24"/>
          <w:lang w:val="en-GB"/>
        </w:rPr>
        <w:t>strategy it is questionable if this system is justifiable. </w:t>
      </w:r>
      <w:r>
        <w:rPr>
          <w:rFonts w:ascii="Times New Roman" w:hAnsi="Times New Roman"/>
          <w:color w:val="0E101A"/>
          <w:sz w:val="24"/>
          <w:szCs w:val="24"/>
          <w:lang w:val="en-GB"/>
        </w:rPr>
        <w:t>One Research Advisory Board for all five faculties might be more efficient.</w:t>
      </w:r>
    </w:p>
    <w:p w14:paraId="75C19DD3" w14:textId="77777777" w:rsidR="00883590" w:rsidRDefault="00883590" w:rsidP="00883590">
      <w:pPr>
        <w:rPr>
          <w:rFonts w:ascii="Times New Roman" w:hAnsi="Times New Roman"/>
          <w:color w:val="0E101A"/>
          <w:sz w:val="24"/>
          <w:szCs w:val="24"/>
          <w:lang w:val="en-GB"/>
        </w:rPr>
      </w:pPr>
      <w:r w:rsidRPr="006350BD">
        <w:rPr>
          <w:rFonts w:ascii="Times New Roman" w:hAnsi="Times New Roman"/>
          <w:color w:val="0E101A"/>
          <w:sz w:val="24"/>
          <w:szCs w:val="24"/>
          <w:lang w:val="en-GB"/>
        </w:rPr>
        <w:t>For future assessment the WoS categories should be used to allow comparison with any University. The self-assignment create confusions.</w:t>
      </w:r>
    </w:p>
    <w:p w14:paraId="1FD0A589" w14:textId="77777777" w:rsidR="00883590" w:rsidRDefault="00883590" w:rsidP="00883590">
      <w:pPr>
        <w:rPr>
          <w:rFonts w:ascii="Times New Roman" w:hAnsi="Times New Roman"/>
          <w:color w:val="0E101A"/>
          <w:sz w:val="24"/>
          <w:szCs w:val="24"/>
          <w:lang w:val="en-GB"/>
        </w:rPr>
      </w:pPr>
    </w:p>
    <w:p w14:paraId="226B323E" w14:textId="77777777" w:rsidR="00883590" w:rsidRPr="006350BD" w:rsidRDefault="00883590" w:rsidP="00883590">
      <w:pPr>
        <w:rPr>
          <w:rFonts w:ascii="Times New Roman" w:hAnsi="Times New Roman"/>
          <w:color w:val="0E101A"/>
          <w:sz w:val="24"/>
          <w:szCs w:val="24"/>
          <w:lang w:val="en-GB"/>
        </w:rPr>
      </w:pPr>
      <w:r>
        <w:rPr>
          <w:rFonts w:ascii="Times New Roman" w:hAnsi="Times New Roman"/>
          <w:color w:val="0E101A"/>
          <w:sz w:val="24"/>
          <w:szCs w:val="24"/>
          <w:lang w:val="en-GB"/>
        </w:rPr>
        <w:t>Additional recommendations</w:t>
      </w:r>
    </w:p>
    <w:p w14:paraId="05733437"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eastAsia="Times New Roman" w:hAnsi="Times New Roman"/>
          <w:sz w:val="24"/>
          <w:szCs w:val="24"/>
          <w:lang w:val="en-GB" w:eastAsia="cs-CZ"/>
        </w:rPr>
        <w:t>The Panel</w:t>
      </w:r>
      <w:r>
        <w:rPr>
          <w:rFonts w:ascii="Times New Roman" w:hAnsi="Times New Roman"/>
          <w:color w:val="0E101A"/>
          <w:sz w:val="24"/>
          <w:szCs w:val="24"/>
          <w:lang w:val="en-GB"/>
        </w:rPr>
        <w:t xml:space="preserve"> did not evaluate participation in studies funded by pharmaceutical companies, but increased collaboration with industry has the following advantages:</w:t>
      </w:r>
    </w:p>
    <w:p w14:paraId="2FA6E498"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Increased exposure to new medications and technologies</w:t>
      </w:r>
    </w:p>
    <w:p w14:paraId="309C610E"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Collaboration in multi-center clinical trials</w:t>
      </w:r>
    </w:p>
    <w:p w14:paraId="7A4414A6"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Exposure to academic leaders in various fields</w:t>
      </w:r>
    </w:p>
    <w:p w14:paraId="20D917D9"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Financial gain that can be recycled into personnel costs and research.</w:t>
      </w:r>
    </w:p>
    <w:p w14:paraId="437496E8" w14:textId="77777777" w:rsidR="00883590" w:rsidRDefault="00883590" w:rsidP="00883590">
      <w:pPr>
        <w:ind w:left="1080"/>
        <w:rPr>
          <w:rFonts w:ascii="Times New Roman" w:hAnsi="Times New Roman"/>
          <w:color w:val="0E101A"/>
          <w:sz w:val="24"/>
          <w:szCs w:val="24"/>
          <w:lang w:val="en-GB"/>
        </w:rPr>
      </w:pPr>
      <w:r>
        <w:rPr>
          <w:rFonts w:ascii="Times New Roman" w:hAnsi="Times New Roman"/>
          <w:color w:val="0E101A"/>
          <w:sz w:val="24"/>
          <w:szCs w:val="24"/>
          <w:lang w:val="en-GB"/>
        </w:rPr>
        <w:t>It is important that the university adopts rules that makes participation in clinical trials financially worthwhile for investigators in terms of either supporting their salary or their research.  Each faculty should have an office that alleviates the burden of initiating and performing clinical trials.  As funding by governments decreases, industry funding becomes increasingly important.</w:t>
      </w:r>
    </w:p>
    <w:p w14:paraId="6ACE0929"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Speaking Czech as a primary language and historically having limited English education leads to difficulties in publishing and submitting grants in English.  Faculties should have ample resources available for teaching English as well as assistance in translation for manuscripts and grants.</w:t>
      </w:r>
    </w:p>
    <w:p w14:paraId="7D4263A6"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Increasing the international prestige is dependent on the quality of work produced but also on the perception of others.  The university should consider a formal approach to this issue.  Possible methods to increase international recognition would include:</w:t>
      </w:r>
    </w:p>
    <w:p w14:paraId="76F5DDF3" w14:textId="2F0AA865"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 xml:space="preserve">Holding international conferences, perhaps with sponsoring from the government or pharmaceutical companies..  The university should leverage this to help improve its international recognition.  </w:t>
      </w:r>
    </w:p>
    <w:p w14:paraId="51509CDA"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Branding of clinical trials such as the Prague trials would be extremely helpful.</w:t>
      </w:r>
    </w:p>
    <w:p w14:paraId="1C9E2E7D"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Regular invitation of thought leaders in various areas to improve relationships and lead to networking and opportunities.  Visiting professorships that are standardized and strategically planned to improve collaborations.</w:t>
      </w:r>
    </w:p>
    <w:p w14:paraId="7B6A3C56" w14:textId="68A631DA" w:rsidR="00883590" w:rsidRPr="00EE320A"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Consider forming a board of advisors for Medicine with representatives from leading European universities to learn what is new in these universities and enhance collaboration and networking.</w:t>
      </w:r>
    </w:p>
    <w:p w14:paraId="3599A1A9" w14:textId="77777777" w:rsidR="00883590" w:rsidRDefault="00883590" w:rsidP="00883590"/>
    <w:p w14:paraId="0DF27B54" w14:textId="6CA347AB" w:rsidR="00831D59" w:rsidRDefault="00831D59" w:rsidP="003672BA">
      <w:pPr>
        <w:spacing w:after="0" w:line="240" w:lineRule="auto"/>
        <w:ind w:right="93"/>
        <w:rPr>
          <w:rFonts w:ascii="Times New Roman" w:eastAsia="Times New Roman" w:hAnsi="Times New Roman"/>
          <w:sz w:val="20"/>
          <w:szCs w:val="20"/>
          <w:lang w:val="en-GB"/>
        </w:rPr>
      </w:pPr>
    </w:p>
    <w:p w14:paraId="4F015059" w14:textId="165F9F4A" w:rsidR="00726560" w:rsidRDefault="00726560" w:rsidP="003672BA">
      <w:pPr>
        <w:spacing w:after="0" w:line="240" w:lineRule="auto"/>
        <w:ind w:right="93"/>
        <w:rPr>
          <w:rFonts w:ascii="Times New Roman" w:eastAsia="Times New Roman" w:hAnsi="Times New Roman"/>
          <w:sz w:val="20"/>
          <w:szCs w:val="20"/>
          <w:lang w:val="en-GB"/>
        </w:rPr>
      </w:pPr>
    </w:p>
    <w:p w14:paraId="6D6E948D" w14:textId="39AF4A1E" w:rsidR="00726560" w:rsidRDefault="00726560" w:rsidP="003672BA">
      <w:pPr>
        <w:spacing w:after="0" w:line="240" w:lineRule="auto"/>
        <w:ind w:right="93"/>
        <w:rPr>
          <w:rFonts w:ascii="Times New Roman" w:eastAsia="Times New Roman" w:hAnsi="Times New Roman"/>
          <w:sz w:val="20"/>
          <w:szCs w:val="20"/>
          <w:lang w:val="en-GB"/>
        </w:rPr>
      </w:pPr>
    </w:p>
    <w:p w14:paraId="14BB43F5" w14:textId="7A93676B" w:rsidR="00726560" w:rsidRDefault="00726560" w:rsidP="003672BA">
      <w:pPr>
        <w:spacing w:after="0" w:line="240" w:lineRule="auto"/>
        <w:ind w:right="93"/>
        <w:rPr>
          <w:rFonts w:ascii="Times New Roman" w:eastAsia="Times New Roman" w:hAnsi="Times New Roman"/>
          <w:sz w:val="20"/>
          <w:szCs w:val="20"/>
          <w:lang w:val="en-GB"/>
        </w:rPr>
      </w:pPr>
    </w:p>
    <w:p w14:paraId="03F37AD2" w14:textId="63ABE6B8" w:rsidR="00726560" w:rsidRDefault="00726560" w:rsidP="003672BA">
      <w:pPr>
        <w:spacing w:after="0" w:line="240" w:lineRule="auto"/>
        <w:ind w:right="93"/>
        <w:rPr>
          <w:rFonts w:ascii="Times New Roman" w:eastAsia="Times New Roman" w:hAnsi="Times New Roman"/>
          <w:sz w:val="20"/>
          <w:szCs w:val="20"/>
          <w:lang w:val="en-GB"/>
        </w:rPr>
      </w:pPr>
    </w:p>
    <w:p w14:paraId="54BF05B2" w14:textId="3F2425E3" w:rsidR="00726560" w:rsidRDefault="00726560" w:rsidP="003672BA">
      <w:pPr>
        <w:spacing w:after="0" w:line="240" w:lineRule="auto"/>
        <w:ind w:right="93"/>
        <w:rPr>
          <w:rFonts w:ascii="Times New Roman" w:eastAsia="Times New Roman" w:hAnsi="Times New Roman"/>
          <w:sz w:val="20"/>
          <w:szCs w:val="20"/>
          <w:lang w:val="en-GB"/>
        </w:rPr>
      </w:pPr>
    </w:p>
    <w:p w14:paraId="68CE3EAB" w14:textId="77777777" w:rsidR="00726560" w:rsidRPr="00831D59" w:rsidRDefault="00726560" w:rsidP="003672BA">
      <w:pPr>
        <w:spacing w:after="0" w:line="240" w:lineRule="auto"/>
        <w:ind w:right="93"/>
        <w:rPr>
          <w:rFonts w:ascii="Times New Roman" w:eastAsia="Times New Roman" w:hAnsi="Times New Roman"/>
          <w:sz w:val="20"/>
          <w:szCs w:val="20"/>
          <w:lang w:val="en-GB"/>
        </w:rPr>
      </w:pPr>
    </w:p>
    <w:p w14:paraId="62693D3C" w14:textId="77777777" w:rsidR="008E6D28" w:rsidRPr="00AC72BF" w:rsidRDefault="008E6D28" w:rsidP="003672BA">
      <w:pPr>
        <w:spacing w:after="0" w:line="360" w:lineRule="auto"/>
        <w:ind w:right="93"/>
        <w:jc w:val="both"/>
        <w:rPr>
          <w:rFonts w:ascii="Times New Roman" w:hAnsi="Times New Roman"/>
          <w:bCs/>
          <w:sz w:val="24"/>
          <w:szCs w:val="24"/>
          <w:lang w:val="en-GB"/>
        </w:rPr>
      </w:pPr>
    </w:p>
    <w:p w14:paraId="7A5F08CD" w14:textId="77777777" w:rsidR="008C2AA7" w:rsidRPr="002D5FC7" w:rsidRDefault="00BB4528" w:rsidP="003672BA">
      <w:pPr>
        <w:numPr>
          <w:ilvl w:val="0"/>
          <w:numId w:val="1"/>
        </w:numPr>
        <w:spacing w:after="0" w:line="360" w:lineRule="auto"/>
        <w:ind w:left="357" w:right="93" w:hanging="357"/>
        <w:jc w:val="both"/>
        <w:rPr>
          <w:rFonts w:ascii="Times New Roman" w:hAnsi="Times New Roman"/>
          <w:b/>
          <w:bCs/>
          <w:sz w:val="32"/>
          <w:szCs w:val="32"/>
          <w:lang w:val="en-GB"/>
        </w:rPr>
      </w:pPr>
      <w:r w:rsidRPr="002D5FC7">
        <w:rPr>
          <w:rFonts w:ascii="Times New Roman" w:hAnsi="Times New Roman"/>
          <w:b/>
          <w:bCs/>
          <w:sz w:val="32"/>
          <w:szCs w:val="32"/>
          <w:lang w:val="en-GB"/>
        </w:rPr>
        <w:t>Overall assessment</w:t>
      </w:r>
      <w:r w:rsidR="00CE6565" w:rsidRPr="002D5FC7">
        <w:rPr>
          <w:rFonts w:ascii="Times New Roman" w:hAnsi="Times New Roman"/>
          <w:b/>
          <w:bCs/>
          <w:sz w:val="32"/>
          <w:szCs w:val="32"/>
          <w:lang w:val="en-GB"/>
        </w:rPr>
        <w:t xml:space="preserve"> of publication </w:t>
      </w:r>
      <w:r w:rsidR="001E62E1" w:rsidRPr="002D5FC7">
        <w:rPr>
          <w:rFonts w:ascii="Times New Roman" w:hAnsi="Times New Roman"/>
          <w:b/>
          <w:bCs/>
          <w:sz w:val="32"/>
          <w:szCs w:val="32"/>
          <w:lang w:val="en-GB"/>
        </w:rPr>
        <w:t>out</w:t>
      </w:r>
      <w:r w:rsidR="00CE6565" w:rsidRPr="002D5FC7">
        <w:rPr>
          <w:rFonts w:ascii="Times New Roman" w:hAnsi="Times New Roman"/>
          <w:b/>
          <w:bCs/>
          <w:sz w:val="32"/>
          <w:szCs w:val="32"/>
          <w:lang w:val="en-GB"/>
        </w:rPr>
        <w:t>put</w:t>
      </w:r>
      <w:r w:rsidR="00775CA5" w:rsidRPr="002D5FC7">
        <w:rPr>
          <w:rFonts w:ascii="Times New Roman" w:hAnsi="Times New Roman"/>
          <w:b/>
          <w:bCs/>
          <w:sz w:val="32"/>
          <w:szCs w:val="32"/>
          <w:lang w:val="en-GB"/>
        </w:rPr>
        <w:t xml:space="preserve"> based on bibliometric analysis</w:t>
      </w:r>
    </w:p>
    <w:p w14:paraId="2FC785E2" w14:textId="77777777" w:rsidR="008A203C" w:rsidRPr="00AC72BF" w:rsidRDefault="008A203C" w:rsidP="003672BA">
      <w:pPr>
        <w:spacing w:after="0" w:line="360" w:lineRule="auto"/>
        <w:ind w:left="1080" w:right="93"/>
        <w:jc w:val="both"/>
        <w:rPr>
          <w:rFonts w:ascii="Times New Roman" w:hAnsi="Times New Roman"/>
          <w:b/>
          <w:bCs/>
          <w:sz w:val="24"/>
          <w:szCs w:val="24"/>
          <w:lang w:val="en-GB"/>
        </w:rPr>
      </w:pPr>
    </w:p>
    <w:p w14:paraId="155CBCAB" w14:textId="736B3C79" w:rsidR="00A0292E" w:rsidRPr="00AC72BF" w:rsidRDefault="00A0292E" w:rsidP="003672BA">
      <w:pPr>
        <w:spacing w:after="0" w:line="360" w:lineRule="auto"/>
        <w:ind w:left="1494" w:right="93"/>
        <w:jc w:val="both"/>
        <w:rPr>
          <w:rFonts w:ascii="Times New Roman" w:hAnsi="Times New Roman"/>
          <w:b/>
          <w:bCs/>
          <w:sz w:val="24"/>
          <w:szCs w:val="24"/>
          <w:lang w:val="en-GB"/>
        </w:rPr>
      </w:pPr>
      <w:r w:rsidRPr="00AC72BF">
        <w:rPr>
          <w:rFonts w:ascii="Times New Roman" w:hAnsi="Times New Roman"/>
          <w:b/>
          <w:bCs/>
          <w:sz w:val="24"/>
          <w:szCs w:val="24"/>
          <w:lang w:val="en-GB"/>
        </w:rPr>
        <w:t>The panel decided to use qua</w:t>
      </w:r>
      <w:r w:rsidR="00560915">
        <w:rPr>
          <w:rFonts w:ascii="Times New Roman" w:hAnsi="Times New Roman"/>
          <w:b/>
          <w:bCs/>
          <w:sz w:val="24"/>
          <w:szCs w:val="24"/>
          <w:lang w:val="en-GB"/>
        </w:rPr>
        <w:t>n</w:t>
      </w:r>
      <w:r w:rsidRPr="00AC72BF">
        <w:rPr>
          <w:rFonts w:ascii="Times New Roman" w:hAnsi="Times New Roman"/>
          <w:b/>
          <w:bCs/>
          <w:sz w:val="24"/>
          <w:szCs w:val="24"/>
          <w:lang w:val="en-GB"/>
        </w:rPr>
        <w:t>t</w:t>
      </w:r>
      <w:r w:rsidR="00843CA0" w:rsidRPr="00AC72BF">
        <w:rPr>
          <w:rFonts w:ascii="Times New Roman" w:hAnsi="Times New Roman"/>
          <w:b/>
          <w:bCs/>
          <w:sz w:val="24"/>
          <w:szCs w:val="24"/>
          <w:lang w:val="en-GB"/>
        </w:rPr>
        <w:t>i</w:t>
      </w:r>
      <w:r w:rsidRPr="00AC72BF">
        <w:rPr>
          <w:rFonts w:ascii="Times New Roman" w:hAnsi="Times New Roman"/>
          <w:b/>
          <w:bCs/>
          <w:sz w:val="24"/>
          <w:szCs w:val="24"/>
          <w:lang w:val="en-GB"/>
        </w:rPr>
        <w:t>ty/quality index – papers / author / above 50% AIS</w:t>
      </w:r>
      <w:r w:rsidR="00E31BF7">
        <w:rPr>
          <w:rFonts w:ascii="Times New Roman" w:hAnsi="Times New Roman"/>
          <w:b/>
          <w:bCs/>
          <w:sz w:val="24"/>
          <w:szCs w:val="24"/>
          <w:lang w:val="en-GB"/>
        </w:rPr>
        <w:t xml:space="preserve">; </w:t>
      </w:r>
      <w:r w:rsidRPr="00AC72BF">
        <w:rPr>
          <w:rFonts w:ascii="Times New Roman" w:hAnsi="Times New Roman"/>
          <w:b/>
          <w:bCs/>
          <w:sz w:val="24"/>
          <w:szCs w:val="24"/>
          <w:lang w:val="en-GB"/>
        </w:rPr>
        <w:t>papers / Author / below 50% AIS</w:t>
      </w:r>
      <w:r w:rsidR="00E31BF7">
        <w:rPr>
          <w:rFonts w:ascii="Times New Roman" w:hAnsi="Times New Roman"/>
          <w:b/>
          <w:bCs/>
          <w:sz w:val="24"/>
          <w:szCs w:val="24"/>
          <w:lang w:val="en-GB"/>
        </w:rPr>
        <w:t>;</w:t>
      </w:r>
      <w:r w:rsidRPr="00AC72BF">
        <w:rPr>
          <w:rFonts w:ascii="Times New Roman" w:hAnsi="Times New Roman"/>
          <w:b/>
          <w:bCs/>
          <w:sz w:val="24"/>
          <w:szCs w:val="24"/>
          <w:lang w:val="en-GB"/>
        </w:rPr>
        <w:t xml:space="preserve"> and Top 10%, P/A  (HC –Head Count</w:t>
      </w:r>
      <w:r w:rsidR="009622CC">
        <w:rPr>
          <w:rFonts w:ascii="Times New Roman" w:hAnsi="Times New Roman"/>
          <w:b/>
          <w:bCs/>
          <w:sz w:val="24"/>
          <w:szCs w:val="24"/>
          <w:lang w:val="en-GB"/>
        </w:rPr>
        <w:t>/ authors specialised in a field</w:t>
      </w:r>
      <w:r w:rsidRPr="00AC72BF">
        <w:rPr>
          <w:rFonts w:ascii="Times New Roman" w:hAnsi="Times New Roman"/>
          <w:b/>
          <w:bCs/>
          <w:sz w:val="24"/>
          <w:szCs w:val="24"/>
          <w:lang w:val="en-GB"/>
        </w:rPr>
        <w:t>, &gt;50% upper Half of the rating</w:t>
      </w:r>
      <w:r w:rsidR="00E31BF7">
        <w:rPr>
          <w:rFonts w:ascii="Times New Roman" w:hAnsi="Times New Roman"/>
          <w:b/>
          <w:bCs/>
          <w:sz w:val="24"/>
          <w:szCs w:val="24"/>
          <w:lang w:val="en-GB"/>
        </w:rPr>
        <w:t>;</w:t>
      </w:r>
      <w:r w:rsidRPr="00AC72BF">
        <w:rPr>
          <w:rFonts w:ascii="Times New Roman" w:hAnsi="Times New Roman"/>
          <w:b/>
          <w:bCs/>
          <w:sz w:val="24"/>
          <w:szCs w:val="24"/>
          <w:lang w:val="en-GB"/>
        </w:rPr>
        <w:t xml:space="preserve"> </w:t>
      </w:r>
      <w:r w:rsidR="00843CA0" w:rsidRPr="00AC72BF">
        <w:rPr>
          <w:rFonts w:ascii="Times New Roman" w:hAnsi="Times New Roman"/>
          <w:b/>
          <w:bCs/>
          <w:sz w:val="24"/>
          <w:szCs w:val="24"/>
          <w:lang w:val="en-GB"/>
        </w:rPr>
        <w:t xml:space="preserve">total </w:t>
      </w:r>
      <w:r w:rsidRPr="00AC72BF">
        <w:rPr>
          <w:rFonts w:ascii="Times New Roman" w:hAnsi="Times New Roman"/>
          <w:b/>
          <w:bCs/>
          <w:sz w:val="24"/>
          <w:szCs w:val="24"/>
          <w:lang w:val="en-GB"/>
        </w:rPr>
        <w:t xml:space="preserve">P/A- papers /Author, or papers divided by total HC).  The </w:t>
      </w:r>
      <w:r w:rsidR="00FA25A8">
        <w:rPr>
          <w:rFonts w:ascii="Times New Roman" w:hAnsi="Times New Roman"/>
          <w:b/>
          <w:bCs/>
          <w:sz w:val="24"/>
          <w:szCs w:val="24"/>
          <w:lang w:val="en-GB"/>
        </w:rPr>
        <w:t>data were</w:t>
      </w:r>
      <w:r w:rsidR="00843CA0" w:rsidRPr="00AC72BF">
        <w:rPr>
          <w:rFonts w:ascii="Times New Roman" w:hAnsi="Times New Roman"/>
          <w:b/>
          <w:bCs/>
          <w:sz w:val="24"/>
          <w:szCs w:val="24"/>
          <w:lang w:val="en-GB"/>
        </w:rPr>
        <w:t xml:space="preserve"> </w:t>
      </w:r>
      <w:r w:rsidRPr="00AC72BF">
        <w:rPr>
          <w:rFonts w:ascii="Times New Roman" w:hAnsi="Times New Roman"/>
          <w:b/>
          <w:bCs/>
          <w:sz w:val="24"/>
          <w:szCs w:val="24"/>
          <w:lang w:val="en-GB"/>
        </w:rPr>
        <w:t xml:space="preserve"> extracted from the FORD International </w:t>
      </w:r>
      <w:r w:rsidR="00FA25A8">
        <w:rPr>
          <w:rFonts w:ascii="Times New Roman" w:hAnsi="Times New Roman"/>
          <w:b/>
          <w:bCs/>
          <w:sz w:val="24"/>
          <w:szCs w:val="24"/>
          <w:lang w:val="en-GB"/>
        </w:rPr>
        <w:t>R</w:t>
      </w:r>
      <w:r w:rsidRPr="00AC72BF">
        <w:rPr>
          <w:rFonts w:ascii="Times New Roman" w:hAnsi="Times New Roman"/>
          <w:b/>
          <w:bCs/>
          <w:sz w:val="24"/>
          <w:szCs w:val="24"/>
          <w:lang w:val="en-GB"/>
        </w:rPr>
        <w:t>eport</w:t>
      </w:r>
      <w:r w:rsidR="00FA25A8">
        <w:rPr>
          <w:rFonts w:ascii="Times New Roman" w:hAnsi="Times New Roman"/>
          <w:b/>
          <w:bCs/>
          <w:sz w:val="24"/>
          <w:szCs w:val="24"/>
          <w:lang w:val="en-GB"/>
        </w:rPr>
        <w:t xml:space="preserve"> of the</w:t>
      </w:r>
      <w:r w:rsidR="003672BA">
        <w:rPr>
          <w:rFonts w:ascii="Times New Roman" w:hAnsi="Times New Roman"/>
          <w:b/>
          <w:bCs/>
          <w:sz w:val="24"/>
          <w:szCs w:val="24"/>
          <w:lang w:val="en-GB"/>
        </w:rPr>
        <w:t>Medical and Health Sciences</w:t>
      </w:r>
      <w:r w:rsidRPr="00AC72BF">
        <w:rPr>
          <w:rFonts w:ascii="Times New Roman" w:hAnsi="Times New Roman"/>
          <w:b/>
          <w:bCs/>
          <w:sz w:val="24"/>
          <w:szCs w:val="24"/>
          <w:lang w:val="en-GB"/>
        </w:rPr>
        <w:t>.</w:t>
      </w:r>
      <w:r w:rsidR="000A646C" w:rsidRPr="00AC72BF">
        <w:rPr>
          <w:rFonts w:ascii="Times New Roman" w:hAnsi="Times New Roman"/>
          <w:b/>
          <w:bCs/>
          <w:sz w:val="24"/>
          <w:szCs w:val="24"/>
          <w:lang w:val="en-GB"/>
        </w:rPr>
        <w:t xml:space="preserve"> </w:t>
      </w:r>
    </w:p>
    <w:p w14:paraId="299C87C3" w14:textId="77777777" w:rsidR="00DE72F7" w:rsidRPr="00AC72BF" w:rsidRDefault="00DE72F7" w:rsidP="003672BA">
      <w:pPr>
        <w:spacing w:after="0" w:line="360" w:lineRule="auto"/>
        <w:ind w:right="93"/>
        <w:jc w:val="both"/>
        <w:rPr>
          <w:rFonts w:ascii="Times New Roman" w:hAnsi="Times New Roman"/>
          <w:b/>
          <w:bCs/>
          <w:sz w:val="24"/>
          <w:szCs w:val="24"/>
          <w:lang w:val="en-GB"/>
        </w:rPr>
      </w:pPr>
    </w:p>
    <w:tbl>
      <w:tblPr>
        <w:tblW w:w="9398" w:type="dxa"/>
        <w:tblInd w:w="93" w:type="dxa"/>
        <w:tblLook w:val="04A0" w:firstRow="1" w:lastRow="0" w:firstColumn="1" w:lastColumn="0" w:noHBand="0" w:noVBand="1"/>
      </w:tblPr>
      <w:tblGrid>
        <w:gridCol w:w="920"/>
        <w:gridCol w:w="728"/>
        <w:gridCol w:w="13"/>
        <w:gridCol w:w="836"/>
        <w:gridCol w:w="248"/>
        <w:gridCol w:w="721"/>
        <w:gridCol w:w="21"/>
        <w:gridCol w:w="708"/>
        <w:gridCol w:w="465"/>
        <w:gridCol w:w="461"/>
        <w:gridCol w:w="562"/>
        <w:gridCol w:w="178"/>
        <w:gridCol w:w="980"/>
        <w:gridCol w:w="729"/>
        <w:gridCol w:w="1080"/>
        <w:gridCol w:w="1020"/>
      </w:tblGrid>
      <w:tr w:rsidR="003672BA" w:rsidRPr="00AC72BF" w14:paraId="64936D42" w14:textId="77777777" w:rsidTr="003672BA">
        <w:trPr>
          <w:gridAfter w:val="5"/>
          <w:wAfter w:w="3958" w:type="dxa"/>
          <w:trHeight w:val="300"/>
        </w:trPr>
        <w:tc>
          <w:tcPr>
            <w:tcW w:w="920" w:type="dxa"/>
            <w:tcBorders>
              <w:top w:val="nil"/>
              <w:left w:val="nil"/>
              <w:bottom w:val="nil"/>
              <w:right w:val="nil"/>
            </w:tcBorders>
            <w:shd w:val="clear" w:color="auto" w:fill="auto"/>
            <w:noWrap/>
            <w:vAlign w:val="bottom"/>
            <w:hideMark/>
          </w:tcPr>
          <w:p w14:paraId="405D5805" w14:textId="77777777" w:rsidR="003672BA" w:rsidRPr="00AC72BF" w:rsidRDefault="003672BA" w:rsidP="003672BA">
            <w:pPr>
              <w:spacing w:after="0" w:line="240" w:lineRule="auto"/>
              <w:ind w:right="93"/>
              <w:rPr>
                <w:rFonts w:ascii="Times New Roman" w:eastAsia="Times New Roman" w:hAnsi="Times New Roman"/>
                <w:color w:val="FF0000"/>
                <w:sz w:val="24"/>
                <w:szCs w:val="24"/>
                <w:lang w:val="en-GB"/>
              </w:rPr>
            </w:pPr>
          </w:p>
        </w:tc>
        <w:tc>
          <w:tcPr>
            <w:tcW w:w="740" w:type="dxa"/>
            <w:gridSpan w:val="2"/>
            <w:tcBorders>
              <w:top w:val="nil"/>
              <w:left w:val="nil"/>
              <w:bottom w:val="nil"/>
              <w:right w:val="nil"/>
            </w:tcBorders>
            <w:shd w:val="clear" w:color="auto" w:fill="auto"/>
            <w:noWrap/>
            <w:vAlign w:val="bottom"/>
            <w:hideMark/>
          </w:tcPr>
          <w:p w14:paraId="580695C6"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980" w:type="dxa"/>
            <w:gridSpan w:val="2"/>
            <w:tcBorders>
              <w:top w:val="nil"/>
              <w:left w:val="nil"/>
              <w:bottom w:val="nil"/>
              <w:right w:val="nil"/>
            </w:tcBorders>
            <w:shd w:val="clear" w:color="auto" w:fill="auto"/>
            <w:noWrap/>
            <w:vAlign w:val="bottom"/>
            <w:hideMark/>
          </w:tcPr>
          <w:p w14:paraId="0FACC498"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700" w:type="dxa"/>
            <w:gridSpan w:val="2"/>
            <w:tcBorders>
              <w:top w:val="nil"/>
              <w:left w:val="nil"/>
              <w:bottom w:val="nil"/>
              <w:right w:val="nil"/>
            </w:tcBorders>
            <w:shd w:val="clear" w:color="auto" w:fill="auto"/>
            <w:noWrap/>
            <w:vAlign w:val="bottom"/>
            <w:hideMark/>
          </w:tcPr>
          <w:p w14:paraId="71FEB1C4"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1080" w:type="dxa"/>
            <w:gridSpan w:val="2"/>
            <w:tcBorders>
              <w:top w:val="nil"/>
              <w:left w:val="nil"/>
              <w:bottom w:val="nil"/>
              <w:right w:val="nil"/>
            </w:tcBorders>
            <w:shd w:val="clear" w:color="auto" w:fill="auto"/>
            <w:noWrap/>
            <w:vAlign w:val="bottom"/>
            <w:hideMark/>
          </w:tcPr>
          <w:p w14:paraId="52F68F08" w14:textId="77777777" w:rsidR="003672BA" w:rsidRPr="00AC72BF" w:rsidRDefault="003672BA" w:rsidP="003672BA">
            <w:pPr>
              <w:spacing w:after="0" w:line="240" w:lineRule="auto"/>
              <w:ind w:right="93"/>
              <w:rPr>
                <w:rFonts w:ascii="Times New Roman" w:eastAsia="Times New Roman" w:hAnsi="Times New Roman"/>
                <w:color w:val="000000"/>
                <w:sz w:val="24"/>
                <w:szCs w:val="24"/>
                <w:lang w:val="en-GB"/>
              </w:rPr>
            </w:pPr>
          </w:p>
        </w:tc>
        <w:tc>
          <w:tcPr>
            <w:tcW w:w="1020" w:type="dxa"/>
            <w:gridSpan w:val="2"/>
            <w:tcBorders>
              <w:top w:val="nil"/>
              <w:left w:val="nil"/>
              <w:bottom w:val="nil"/>
              <w:right w:val="nil"/>
            </w:tcBorders>
            <w:shd w:val="clear" w:color="auto" w:fill="auto"/>
            <w:noWrap/>
            <w:vAlign w:val="bottom"/>
            <w:hideMark/>
          </w:tcPr>
          <w:p w14:paraId="57DA1639" w14:textId="77777777" w:rsidR="003672BA" w:rsidRPr="00AC72BF" w:rsidRDefault="003672BA" w:rsidP="003672BA">
            <w:pPr>
              <w:spacing w:after="0" w:line="240" w:lineRule="auto"/>
              <w:ind w:right="93"/>
              <w:rPr>
                <w:rFonts w:ascii="Times New Roman" w:eastAsia="Times New Roman" w:hAnsi="Times New Roman"/>
                <w:color w:val="FF0000"/>
                <w:sz w:val="24"/>
                <w:szCs w:val="24"/>
                <w:lang w:val="en-GB"/>
              </w:rPr>
            </w:pPr>
          </w:p>
        </w:tc>
      </w:tr>
      <w:tr w:rsidR="00DE72F7" w:rsidRPr="00AC72BF" w14:paraId="4BE814C4"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06D3740B"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University</w:t>
            </w:r>
          </w:p>
        </w:tc>
        <w:tc>
          <w:tcPr>
            <w:tcW w:w="757" w:type="dxa"/>
            <w:gridSpan w:val="2"/>
            <w:tcBorders>
              <w:top w:val="nil"/>
              <w:left w:val="nil"/>
              <w:bottom w:val="nil"/>
              <w:right w:val="nil"/>
            </w:tcBorders>
            <w:shd w:val="clear" w:color="auto" w:fill="auto"/>
            <w:noWrap/>
            <w:vAlign w:val="bottom"/>
            <w:hideMark/>
          </w:tcPr>
          <w:p w14:paraId="79176F28"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HC</w:t>
            </w:r>
          </w:p>
        </w:tc>
        <w:tc>
          <w:tcPr>
            <w:tcW w:w="917" w:type="dxa"/>
            <w:gridSpan w:val="2"/>
            <w:tcBorders>
              <w:top w:val="nil"/>
              <w:left w:val="nil"/>
              <w:bottom w:val="nil"/>
              <w:right w:val="nil"/>
            </w:tcBorders>
            <w:shd w:val="clear" w:color="auto" w:fill="auto"/>
            <w:noWrap/>
            <w:vAlign w:val="bottom"/>
            <w:hideMark/>
          </w:tcPr>
          <w:p w14:paraId="13105555" w14:textId="77777777" w:rsidR="00DE72F7" w:rsidRPr="003672BA" w:rsidRDefault="00DE72F7" w:rsidP="003672BA">
            <w:pPr>
              <w:spacing w:after="0" w:line="240" w:lineRule="auto"/>
              <w:ind w:right="93"/>
              <w:rPr>
                <w:rFonts w:ascii="Times New Roman" w:eastAsia="Times New Roman" w:hAnsi="Times New Roman"/>
                <w:b/>
                <w:color w:val="FF0000"/>
                <w:sz w:val="24"/>
                <w:szCs w:val="24"/>
                <w:lang w:val="en-GB"/>
              </w:rPr>
            </w:pPr>
            <w:r w:rsidRPr="003672BA">
              <w:rPr>
                <w:rFonts w:ascii="Times New Roman" w:eastAsia="Times New Roman" w:hAnsi="Times New Roman"/>
                <w:b/>
                <w:color w:val="FF0000"/>
                <w:sz w:val="24"/>
                <w:szCs w:val="24"/>
                <w:lang w:val="en-GB"/>
              </w:rPr>
              <w:t>&gt;50%</w:t>
            </w:r>
          </w:p>
        </w:tc>
        <w:tc>
          <w:tcPr>
            <w:tcW w:w="636" w:type="dxa"/>
            <w:gridSpan w:val="2"/>
            <w:tcBorders>
              <w:top w:val="nil"/>
              <w:left w:val="nil"/>
              <w:bottom w:val="nil"/>
              <w:right w:val="nil"/>
            </w:tcBorders>
            <w:shd w:val="clear" w:color="auto" w:fill="auto"/>
            <w:noWrap/>
            <w:vAlign w:val="bottom"/>
            <w:hideMark/>
          </w:tcPr>
          <w:p w14:paraId="74A664D5"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P/A</w:t>
            </w:r>
          </w:p>
        </w:tc>
        <w:tc>
          <w:tcPr>
            <w:tcW w:w="920" w:type="dxa"/>
            <w:gridSpan w:val="2"/>
            <w:tcBorders>
              <w:top w:val="nil"/>
              <w:left w:val="nil"/>
              <w:bottom w:val="nil"/>
              <w:right w:val="nil"/>
            </w:tcBorders>
            <w:shd w:val="clear" w:color="auto" w:fill="auto"/>
            <w:noWrap/>
            <w:vAlign w:val="bottom"/>
            <w:hideMark/>
          </w:tcPr>
          <w:p w14:paraId="2E77401B" w14:textId="77777777" w:rsidR="00DE72F7" w:rsidRPr="003672BA" w:rsidRDefault="00DE72F7" w:rsidP="003672BA">
            <w:pPr>
              <w:spacing w:after="0" w:line="240" w:lineRule="auto"/>
              <w:ind w:right="93"/>
              <w:rPr>
                <w:rFonts w:ascii="Times New Roman" w:eastAsia="Times New Roman" w:hAnsi="Times New Roman"/>
                <w:b/>
                <w:color w:val="FF0000"/>
                <w:sz w:val="24"/>
                <w:szCs w:val="24"/>
                <w:lang w:val="en-GB"/>
              </w:rPr>
            </w:pPr>
            <w:r w:rsidRPr="003672BA">
              <w:rPr>
                <w:rFonts w:ascii="Times New Roman" w:eastAsia="Times New Roman" w:hAnsi="Times New Roman"/>
                <w:b/>
                <w:color w:val="FF0000"/>
                <w:sz w:val="24"/>
                <w:szCs w:val="24"/>
                <w:lang w:val="en-GB"/>
              </w:rPr>
              <w:t>&lt;50%</w:t>
            </w:r>
          </w:p>
        </w:tc>
        <w:tc>
          <w:tcPr>
            <w:tcW w:w="740" w:type="dxa"/>
            <w:gridSpan w:val="2"/>
            <w:tcBorders>
              <w:top w:val="nil"/>
              <w:left w:val="nil"/>
              <w:bottom w:val="nil"/>
              <w:right w:val="nil"/>
            </w:tcBorders>
            <w:shd w:val="clear" w:color="auto" w:fill="auto"/>
            <w:noWrap/>
            <w:vAlign w:val="bottom"/>
            <w:hideMark/>
          </w:tcPr>
          <w:p w14:paraId="2FE3280C"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P/A</w:t>
            </w:r>
          </w:p>
        </w:tc>
        <w:tc>
          <w:tcPr>
            <w:tcW w:w="980" w:type="dxa"/>
            <w:tcBorders>
              <w:top w:val="nil"/>
              <w:left w:val="nil"/>
              <w:bottom w:val="nil"/>
              <w:right w:val="nil"/>
            </w:tcBorders>
            <w:shd w:val="clear" w:color="auto" w:fill="auto"/>
            <w:noWrap/>
            <w:vAlign w:val="bottom"/>
            <w:hideMark/>
          </w:tcPr>
          <w:p w14:paraId="38841ED7"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Top 10%</w:t>
            </w:r>
          </w:p>
        </w:tc>
        <w:tc>
          <w:tcPr>
            <w:tcW w:w="700" w:type="dxa"/>
            <w:tcBorders>
              <w:top w:val="nil"/>
              <w:left w:val="nil"/>
              <w:bottom w:val="nil"/>
              <w:right w:val="nil"/>
            </w:tcBorders>
            <w:shd w:val="clear" w:color="auto" w:fill="auto"/>
            <w:noWrap/>
            <w:vAlign w:val="bottom"/>
            <w:hideMark/>
          </w:tcPr>
          <w:p w14:paraId="3F9FE6B6"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P/A</w:t>
            </w:r>
          </w:p>
        </w:tc>
        <w:tc>
          <w:tcPr>
            <w:tcW w:w="1080" w:type="dxa"/>
            <w:tcBorders>
              <w:top w:val="nil"/>
              <w:left w:val="nil"/>
              <w:bottom w:val="nil"/>
              <w:right w:val="nil"/>
            </w:tcBorders>
            <w:shd w:val="clear" w:color="auto" w:fill="auto"/>
            <w:noWrap/>
            <w:vAlign w:val="bottom"/>
            <w:hideMark/>
          </w:tcPr>
          <w:p w14:paraId="7462AE54" w14:textId="77777777" w:rsidR="00DE72F7" w:rsidRPr="003672BA" w:rsidRDefault="00DE72F7" w:rsidP="003672BA">
            <w:pPr>
              <w:spacing w:after="0" w:line="240" w:lineRule="auto"/>
              <w:ind w:right="93"/>
              <w:rPr>
                <w:rFonts w:ascii="Times New Roman" w:eastAsia="Times New Roman" w:hAnsi="Times New Roman"/>
                <w:b/>
                <w:color w:val="000000"/>
                <w:sz w:val="24"/>
                <w:szCs w:val="24"/>
                <w:lang w:val="en-GB"/>
              </w:rPr>
            </w:pPr>
            <w:r w:rsidRPr="003672BA">
              <w:rPr>
                <w:rFonts w:ascii="Times New Roman" w:eastAsia="Times New Roman" w:hAnsi="Times New Roman"/>
                <w:b/>
                <w:color w:val="000000"/>
                <w:sz w:val="24"/>
                <w:szCs w:val="24"/>
                <w:lang w:val="en-GB"/>
              </w:rPr>
              <w:t>Total</w:t>
            </w:r>
          </w:p>
        </w:tc>
        <w:tc>
          <w:tcPr>
            <w:tcW w:w="1020" w:type="dxa"/>
            <w:tcBorders>
              <w:top w:val="nil"/>
              <w:left w:val="nil"/>
              <w:bottom w:val="nil"/>
              <w:right w:val="nil"/>
            </w:tcBorders>
            <w:shd w:val="clear" w:color="auto" w:fill="auto"/>
            <w:noWrap/>
            <w:vAlign w:val="bottom"/>
            <w:hideMark/>
          </w:tcPr>
          <w:p w14:paraId="08C6C108" w14:textId="77777777" w:rsidR="00DE72F7" w:rsidRPr="003672BA" w:rsidRDefault="00DE72F7" w:rsidP="003672BA">
            <w:pPr>
              <w:spacing w:after="0" w:line="240" w:lineRule="auto"/>
              <w:ind w:right="93"/>
              <w:rPr>
                <w:rFonts w:ascii="Times New Roman" w:eastAsia="Times New Roman" w:hAnsi="Times New Roman"/>
                <w:b/>
                <w:color w:val="FF0000"/>
                <w:sz w:val="24"/>
                <w:szCs w:val="24"/>
                <w:lang w:val="en-GB"/>
              </w:rPr>
            </w:pPr>
            <w:r w:rsidRPr="003672BA">
              <w:rPr>
                <w:rFonts w:ascii="Times New Roman" w:eastAsia="Times New Roman" w:hAnsi="Times New Roman"/>
                <w:b/>
                <w:color w:val="FF0000"/>
                <w:sz w:val="24"/>
                <w:szCs w:val="24"/>
                <w:lang w:val="en-GB"/>
              </w:rPr>
              <w:t>Total P/A</w:t>
            </w:r>
          </w:p>
        </w:tc>
      </w:tr>
      <w:tr w:rsidR="00DE72F7" w:rsidRPr="00AC72BF" w14:paraId="3D5E387B"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21717A46"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CUNI</w:t>
            </w:r>
          </w:p>
        </w:tc>
        <w:tc>
          <w:tcPr>
            <w:tcW w:w="757" w:type="dxa"/>
            <w:gridSpan w:val="2"/>
            <w:tcBorders>
              <w:top w:val="nil"/>
              <w:left w:val="nil"/>
              <w:bottom w:val="nil"/>
              <w:right w:val="nil"/>
            </w:tcBorders>
            <w:shd w:val="clear" w:color="auto" w:fill="auto"/>
            <w:noWrap/>
            <w:vAlign w:val="bottom"/>
            <w:hideMark/>
          </w:tcPr>
          <w:p w14:paraId="196C8575"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4,579</w:t>
            </w:r>
          </w:p>
        </w:tc>
        <w:tc>
          <w:tcPr>
            <w:tcW w:w="917" w:type="dxa"/>
            <w:gridSpan w:val="2"/>
            <w:tcBorders>
              <w:top w:val="nil"/>
              <w:left w:val="nil"/>
              <w:bottom w:val="nil"/>
              <w:right w:val="nil"/>
            </w:tcBorders>
            <w:shd w:val="clear" w:color="auto" w:fill="auto"/>
            <w:noWrap/>
            <w:vAlign w:val="bottom"/>
            <w:hideMark/>
          </w:tcPr>
          <w:p w14:paraId="73488B8E"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3,162</w:t>
            </w:r>
          </w:p>
        </w:tc>
        <w:tc>
          <w:tcPr>
            <w:tcW w:w="636" w:type="dxa"/>
            <w:gridSpan w:val="2"/>
            <w:tcBorders>
              <w:top w:val="nil"/>
              <w:left w:val="nil"/>
              <w:bottom w:val="nil"/>
              <w:right w:val="nil"/>
            </w:tcBorders>
            <w:shd w:val="clear" w:color="auto" w:fill="auto"/>
            <w:noWrap/>
            <w:vAlign w:val="bottom"/>
            <w:hideMark/>
          </w:tcPr>
          <w:p w14:paraId="411EAD5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0.69</w:t>
            </w:r>
          </w:p>
        </w:tc>
        <w:tc>
          <w:tcPr>
            <w:tcW w:w="920" w:type="dxa"/>
            <w:gridSpan w:val="2"/>
            <w:tcBorders>
              <w:top w:val="nil"/>
              <w:left w:val="nil"/>
              <w:bottom w:val="nil"/>
              <w:right w:val="nil"/>
            </w:tcBorders>
            <w:shd w:val="clear" w:color="auto" w:fill="auto"/>
            <w:noWrap/>
            <w:vAlign w:val="bottom"/>
            <w:hideMark/>
          </w:tcPr>
          <w:p w14:paraId="50EBB11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2,867</w:t>
            </w:r>
          </w:p>
        </w:tc>
        <w:tc>
          <w:tcPr>
            <w:tcW w:w="740" w:type="dxa"/>
            <w:gridSpan w:val="2"/>
            <w:tcBorders>
              <w:top w:val="nil"/>
              <w:left w:val="nil"/>
              <w:bottom w:val="nil"/>
              <w:right w:val="nil"/>
            </w:tcBorders>
            <w:shd w:val="clear" w:color="auto" w:fill="auto"/>
            <w:noWrap/>
            <w:vAlign w:val="bottom"/>
            <w:hideMark/>
          </w:tcPr>
          <w:p w14:paraId="7CF6008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0.63</w:t>
            </w:r>
          </w:p>
        </w:tc>
        <w:tc>
          <w:tcPr>
            <w:tcW w:w="980" w:type="dxa"/>
            <w:tcBorders>
              <w:top w:val="nil"/>
              <w:left w:val="nil"/>
              <w:bottom w:val="nil"/>
              <w:right w:val="nil"/>
            </w:tcBorders>
            <w:shd w:val="clear" w:color="auto" w:fill="auto"/>
            <w:noWrap/>
            <w:vAlign w:val="bottom"/>
            <w:hideMark/>
          </w:tcPr>
          <w:p w14:paraId="047ED28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724</w:t>
            </w:r>
          </w:p>
        </w:tc>
        <w:tc>
          <w:tcPr>
            <w:tcW w:w="700" w:type="dxa"/>
            <w:tcBorders>
              <w:top w:val="nil"/>
              <w:left w:val="nil"/>
              <w:bottom w:val="nil"/>
              <w:right w:val="nil"/>
            </w:tcBorders>
            <w:shd w:val="clear" w:color="auto" w:fill="auto"/>
            <w:noWrap/>
            <w:vAlign w:val="bottom"/>
            <w:hideMark/>
          </w:tcPr>
          <w:p w14:paraId="105E266F"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0.16</w:t>
            </w:r>
          </w:p>
        </w:tc>
        <w:tc>
          <w:tcPr>
            <w:tcW w:w="1080" w:type="dxa"/>
            <w:tcBorders>
              <w:top w:val="nil"/>
              <w:left w:val="nil"/>
              <w:bottom w:val="nil"/>
              <w:right w:val="nil"/>
            </w:tcBorders>
            <w:shd w:val="clear" w:color="auto" w:fill="auto"/>
            <w:noWrap/>
            <w:vAlign w:val="bottom"/>
            <w:hideMark/>
          </w:tcPr>
          <w:p w14:paraId="06F5311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6,029</w:t>
            </w:r>
          </w:p>
        </w:tc>
        <w:tc>
          <w:tcPr>
            <w:tcW w:w="1020" w:type="dxa"/>
            <w:tcBorders>
              <w:top w:val="nil"/>
              <w:left w:val="nil"/>
              <w:bottom w:val="nil"/>
              <w:right w:val="nil"/>
            </w:tcBorders>
            <w:shd w:val="clear" w:color="auto" w:fill="auto"/>
            <w:noWrap/>
            <w:vAlign w:val="bottom"/>
            <w:hideMark/>
          </w:tcPr>
          <w:p w14:paraId="07680A42"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1.32</w:t>
            </w:r>
          </w:p>
        </w:tc>
      </w:tr>
      <w:tr w:rsidR="00DE72F7" w:rsidRPr="00AC72BF" w14:paraId="48B9EFC6"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62A98A7E"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Heidelberg</w:t>
            </w:r>
          </w:p>
        </w:tc>
        <w:tc>
          <w:tcPr>
            <w:tcW w:w="757" w:type="dxa"/>
            <w:gridSpan w:val="2"/>
            <w:tcBorders>
              <w:top w:val="nil"/>
              <w:left w:val="nil"/>
              <w:bottom w:val="nil"/>
              <w:right w:val="nil"/>
            </w:tcBorders>
            <w:shd w:val="clear" w:color="auto" w:fill="auto"/>
            <w:noWrap/>
            <w:vAlign w:val="bottom"/>
            <w:hideMark/>
          </w:tcPr>
          <w:p w14:paraId="1D32EC6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7,731</w:t>
            </w:r>
          </w:p>
        </w:tc>
        <w:tc>
          <w:tcPr>
            <w:tcW w:w="917" w:type="dxa"/>
            <w:gridSpan w:val="2"/>
            <w:tcBorders>
              <w:top w:val="nil"/>
              <w:left w:val="nil"/>
              <w:bottom w:val="nil"/>
              <w:right w:val="nil"/>
            </w:tcBorders>
            <w:shd w:val="clear" w:color="auto" w:fill="auto"/>
            <w:noWrap/>
            <w:vAlign w:val="bottom"/>
            <w:hideMark/>
          </w:tcPr>
          <w:p w14:paraId="45A2E83B"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9,041</w:t>
            </w:r>
          </w:p>
        </w:tc>
        <w:tc>
          <w:tcPr>
            <w:tcW w:w="636" w:type="dxa"/>
            <w:gridSpan w:val="2"/>
            <w:tcBorders>
              <w:top w:val="nil"/>
              <w:left w:val="nil"/>
              <w:bottom w:val="nil"/>
              <w:right w:val="nil"/>
            </w:tcBorders>
            <w:shd w:val="clear" w:color="auto" w:fill="auto"/>
            <w:noWrap/>
            <w:vAlign w:val="bottom"/>
            <w:hideMark/>
          </w:tcPr>
          <w:p w14:paraId="15B3F29B"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1.17</w:t>
            </w:r>
          </w:p>
        </w:tc>
        <w:tc>
          <w:tcPr>
            <w:tcW w:w="920" w:type="dxa"/>
            <w:gridSpan w:val="2"/>
            <w:tcBorders>
              <w:top w:val="nil"/>
              <w:left w:val="nil"/>
              <w:bottom w:val="nil"/>
              <w:right w:val="nil"/>
            </w:tcBorders>
            <w:shd w:val="clear" w:color="auto" w:fill="auto"/>
            <w:noWrap/>
            <w:vAlign w:val="bottom"/>
            <w:hideMark/>
          </w:tcPr>
          <w:p w14:paraId="336EEF9D"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2,845</w:t>
            </w:r>
          </w:p>
        </w:tc>
        <w:tc>
          <w:tcPr>
            <w:tcW w:w="740" w:type="dxa"/>
            <w:gridSpan w:val="2"/>
            <w:tcBorders>
              <w:top w:val="nil"/>
              <w:left w:val="nil"/>
              <w:bottom w:val="nil"/>
              <w:right w:val="nil"/>
            </w:tcBorders>
            <w:shd w:val="clear" w:color="auto" w:fill="auto"/>
            <w:noWrap/>
            <w:vAlign w:val="bottom"/>
            <w:hideMark/>
          </w:tcPr>
          <w:p w14:paraId="41EB229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0.37</w:t>
            </w:r>
          </w:p>
        </w:tc>
        <w:tc>
          <w:tcPr>
            <w:tcW w:w="980" w:type="dxa"/>
            <w:tcBorders>
              <w:top w:val="nil"/>
              <w:left w:val="nil"/>
              <w:bottom w:val="nil"/>
              <w:right w:val="nil"/>
            </w:tcBorders>
            <w:shd w:val="clear" w:color="auto" w:fill="auto"/>
            <w:noWrap/>
            <w:vAlign w:val="bottom"/>
            <w:hideMark/>
          </w:tcPr>
          <w:p w14:paraId="7499E7EB"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2,530</w:t>
            </w:r>
          </w:p>
        </w:tc>
        <w:tc>
          <w:tcPr>
            <w:tcW w:w="700" w:type="dxa"/>
            <w:tcBorders>
              <w:top w:val="nil"/>
              <w:left w:val="nil"/>
              <w:bottom w:val="nil"/>
              <w:right w:val="nil"/>
            </w:tcBorders>
            <w:shd w:val="clear" w:color="auto" w:fill="auto"/>
            <w:noWrap/>
            <w:vAlign w:val="bottom"/>
            <w:hideMark/>
          </w:tcPr>
          <w:p w14:paraId="4F631B0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0.33</w:t>
            </w:r>
          </w:p>
        </w:tc>
        <w:tc>
          <w:tcPr>
            <w:tcW w:w="1080" w:type="dxa"/>
            <w:tcBorders>
              <w:top w:val="nil"/>
              <w:left w:val="nil"/>
              <w:bottom w:val="nil"/>
              <w:right w:val="nil"/>
            </w:tcBorders>
            <w:shd w:val="clear" w:color="auto" w:fill="auto"/>
            <w:noWrap/>
            <w:vAlign w:val="bottom"/>
            <w:hideMark/>
          </w:tcPr>
          <w:p w14:paraId="280FE04A"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11,886</w:t>
            </w:r>
          </w:p>
        </w:tc>
        <w:tc>
          <w:tcPr>
            <w:tcW w:w="1020" w:type="dxa"/>
            <w:tcBorders>
              <w:top w:val="nil"/>
              <w:left w:val="nil"/>
              <w:bottom w:val="nil"/>
              <w:right w:val="nil"/>
            </w:tcBorders>
            <w:shd w:val="clear" w:color="auto" w:fill="auto"/>
            <w:noWrap/>
            <w:vAlign w:val="bottom"/>
            <w:hideMark/>
          </w:tcPr>
          <w:p w14:paraId="041C3215"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1.54</w:t>
            </w:r>
          </w:p>
        </w:tc>
      </w:tr>
      <w:tr w:rsidR="00DE72F7" w:rsidRPr="00AC72BF" w14:paraId="0848C702"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203055D9"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Warsaw</w:t>
            </w:r>
          </w:p>
        </w:tc>
        <w:tc>
          <w:tcPr>
            <w:tcW w:w="757" w:type="dxa"/>
            <w:gridSpan w:val="2"/>
            <w:tcBorders>
              <w:top w:val="nil"/>
              <w:left w:val="nil"/>
              <w:bottom w:val="nil"/>
              <w:right w:val="nil"/>
            </w:tcBorders>
            <w:shd w:val="clear" w:color="auto" w:fill="auto"/>
            <w:noWrap/>
            <w:vAlign w:val="bottom"/>
            <w:hideMark/>
          </w:tcPr>
          <w:p w14:paraId="795A3447"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790</w:t>
            </w:r>
          </w:p>
        </w:tc>
        <w:tc>
          <w:tcPr>
            <w:tcW w:w="917" w:type="dxa"/>
            <w:gridSpan w:val="2"/>
            <w:tcBorders>
              <w:top w:val="nil"/>
              <w:left w:val="nil"/>
              <w:bottom w:val="nil"/>
              <w:right w:val="nil"/>
            </w:tcBorders>
            <w:shd w:val="clear" w:color="auto" w:fill="auto"/>
            <w:noWrap/>
            <w:vAlign w:val="bottom"/>
            <w:hideMark/>
          </w:tcPr>
          <w:p w14:paraId="14948ED1"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503</w:t>
            </w:r>
          </w:p>
        </w:tc>
        <w:tc>
          <w:tcPr>
            <w:tcW w:w="636" w:type="dxa"/>
            <w:gridSpan w:val="2"/>
            <w:tcBorders>
              <w:top w:val="nil"/>
              <w:left w:val="nil"/>
              <w:bottom w:val="nil"/>
              <w:right w:val="nil"/>
            </w:tcBorders>
            <w:shd w:val="clear" w:color="auto" w:fill="auto"/>
            <w:noWrap/>
            <w:vAlign w:val="bottom"/>
            <w:hideMark/>
          </w:tcPr>
          <w:p w14:paraId="2237A7B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0.64</w:t>
            </w:r>
          </w:p>
        </w:tc>
        <w:tc>
          <w:tcPr>
            <w:tcW w:w="920" w:type="dxa"/>
            <w:gridSpan w:val="2"/>
            <w:tcBorders>
              <w:top w:val="nil"/>
              <w:left w:val="nil"/>
              <w:bottom w:val="nil"/>
              <w:right w:val="nil"/>
            </w:tcBorders>
            <w:shd w:val="clear" w:color="auto" w:fill="auto"/>
            <w:noWrap/>
            <w:vAlign w:val="bottom"/>
            <w:hideMark/>
          </w:tcPr>
          <w:p w14:paraId="4C28FAE1"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338</w:t>
            </w:r>
          </w:p>
        </w:tc>
        <w:tc>
          <w:tcPr>
            <w:tcW w:w="740" w:type="dxa"/>
            <w:gridSpan w:val="2"/>
            <w:tcBorders>
              <w:top w:val="nil"/>
              <w:left w:val="nil"/>
              <w:bottom w:val="nil"/>
              <w:right w:val="nil"/>
            </w:tcBorders>
            <w:shd w:val="clear" w:color="auto" w:fill="auto"/>
            <w:noWrap/>
            <w:vAlign w:val="bottom"/>
            <w:hideMark/>
          </w:tcPr>
          <w:p w14:paraId="5B2D71D0"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0.43</w:t>
            </w:r>
          </w:p>
        </w:tc>
        <w:tc>
          <w:tcPr>
            <w:tcW w:w="980" w:type="dxa"/>
            <w:tcBorders>
              <w:top w:val="nil"/>
              <w:left w:val="nil"/>
              <w:bottom w:val="nil"/>
              <w:right w:val="nil"/>
            </w:tcBorders>
            <w:shd w:val="clear" w:color="auto" w:fill="auto"/>
            <w:noWrap/>
            <w:vAlign w:val="bottom"/>
            <w:hideMark/>
          </w:tcPr>
          <w:p w14:paraId="79741DD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700" w:type="dxa"/>
            <w:tcBorders>
              <w:top w:val="nil"/>
              <w:left w:val="nil"/>
              <w:bottom w:val="nil"/>
              <w:right w:val="nil"/>
            </w:tcBorders>
            <w:shd w:val="clear" w:color="auto" w:fill="auto"/>
            <w:noWrap/>
            <w:vAlign w:val="bottom"/>
            <w:hideMark/>
          </w:tcPr>
          <w:p w14:paraId="76AA974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0.09</w:t>
            </w:r>
          </w:p>
        </w:tc>
        <w:tc>
          <w:tcPr>
            <w:tcW w:w="1080" w:type="dxa"/>
            <w:tcBorders>
              <w:top w:val="nil"/>
              <w:left w:val="nil"/>
              <w:bottom w:val="nil"/>
              <w:right w:val="nil"/>
            </w:tcBorders>
            <w:shd w:val="clear" w:color="auto" w:fill="auto"/>
            <w:noWrap/>
            <w:vAlign w:val="bottom"/>
            <w:hideMark/>
          </w:tcPr>
          <w:p w14:paraId="097B5418"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841</w:t>
            </w:r>
          </w:p>
        </w:tc>
        <w:tc>
          <w:tcPr>
            <w:tcW w:w="1020" w:type="dxa"/>
            <w:tcBorders>
              <w:top w:val="nil"/>
              <w:left w:val="nil"/>
              <w:bottom w:val="nil"/>
              <w:right w:val="nil"/>
            </w:tcBorders>
            <w:shd w:val="clear" w:color="auto" w:fill="auto"/>
            <w:noWrap/>
            <w:vAlign w:val="bottom"/>
            <w:hideMark/>
          </w:tcPr>
          <w:p w14:paraId="5B55DE94"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1.06</w:t>
            </w:r>
          </w:p>
        </w:tc>
      </w:tr>
      <w:tr w:rsidR="00DE72F7" w:rsidRPr="00AC72BF" w14:paraId="2C926814"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6B07592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Copenhagen</w:t>
            </w:r>
          </w:p>
        </w:tc>
        <w:tc>
          <w:tcPr>
            <w:tcW w:w="757" w:type="dxa"/>
            <w:gridSpan w:val="2"/>
            <w:tcBorders>
              <w:top w:val="nil"/>
              <w:left w:val="nil"/>
              <w:bottom w:val="nil"/>
              <w:right w:val="nil"/>
            </w:tcBorders>
            <w:shd w:val="clear" w:color="auto" w:fill="auto"/>
            <w:noWrap/>
            <w:vAlign w:val="bottom"/>
            <w:hideMark/>
          </w:tcPr>
          <w:p w14:paraId="13F3838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8,652</w:t>
            </w:r>
          </w:p>
        </w:tc>
        <w:tc>
          <w:tcPr>
            <w:tcW w:w="917" w:type="dxa"/>
            <w:gridSpan w:val="2"/>
            <w:tcBorders>
              <w:top w:val="nil"/>
              <w:left w:val="nil"/>
              <w:bottom w:val="nil"/>
              <w:right w:val="nil"/>
            </w:tcBorders>
            <w:shd w:val="clear" w:color="auto" w:fill="auto"/>
            <w:noWrap/>
            <w:vAlign w:val="bottom"/>
            <w:hideMark/>
          </w:tcPr>
          <w:p w14:paraId="0008EC5F"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12,012</w:t>
            </w:r>
          </w:p>
        </w:tc>
        <w:tc>
          <w:tcPr>
            <w:tcW w:w="636" w:type="dxa"/>
            <w:gridSpan w:val="2"/>
            <w:tcBorders>
              <w:top w:val="nil"/>
              <w:left w:val="nil"/>
              <w:bottom w:val="nil"/>
              <w:right w:val="nil"/>
            </w:tcBorders>
            <w:shd w:val="clear" w:color="auto" w:fill="auto"/>
            <w:noWrap/>
            <w:vAlign w:val="bottom"/>
            <w:hideMark/>
          </w:tcPr>
          <w:p w14:paraId="7160995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1.39</w:t>
            </w:r>
          </w:p>
        </w:tc>
        <w:tc>
          <w:tcPr>
            <w:tcW w:w="920" w:type="dxa"/>
            <w:gridSpan w:val="2"/>
            <w:tcBorders>
              <w:top w:val="nil"/>
              <w:left w:val="nil"/>
              <w:bottom w:val="nil"/>
              <w:right w:val="nil"/>
            </w:tcBorders>
            <w:shd w:val="clear" w:color="auto" w:fill="auto"/>
            <w:noWrap/>
            <w:vAlign w:val="bottom"/>
            <w:hideMark/>
          </w:tcPr>
          <w:p w14:paraId="21E71AC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2,804</w:t>
            </w:r>
          </w:p>
        </w:tc>
        <w:tc>
          <w:tcPr>
            <w:tcW w:w="740" w:type="dxa"/>
            <w:gridSpan w:val="2"/>
            <w:tcBorders>
              <w:top w:val="nil"/>
              <w:left w:val="nil"/>
              <w:bottom w:val="nil"/>
              <w:right w:val="nil"/>
            </w:tcBorders>
            <w:shd w:val="clear" w:color="auto" w:fill="auto"/>
            <w:noWrap/>
            <w:vAlign w:val="bottom"/>
            <w:hideMark/>
          </w:tcPr>
          <w:p w14:paraId="39FB6E75"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0.32</w:t>
            </w:r>
          </w:p>
        </w:tc>
        <w:tc>
          <w:tcPr>
            <w:tcW w:w="980" w:type="dxa"/>
            <w:tcBorders>
              <w:top w:val="nil"/>
              <w:left w:val="nil"/>
              <w:bottom w:val="nil"/>
              <w:right w:val="nil"/>
            </w:tcBorders>
            <w:shd w:val="clear" w:color="auto" w:fill="auto"/>
            <w:noWrap/>
            <w:vAlign w:val="bottom"/>
            <w:hideMark/>
          </w:tcPr>
          <w:p w14:paraId="7DC94562"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2,989</w:t>
            </w:r>
          </w:p>
        </w:tc>
        <w:tc>
          <w:tcPr>
            <w:tcW w:w="700" w:type="dxa"/>
            <w:tcBorders>
              <w:top w:val="nil"/>
              <w:left w:val="nil"/>
              <w:bottom w:val="nil"/>
              <w:right w:val="nil"/>
            </w:tcBorders>
            <w:shd w:val="clear" w:color="auto" w:fill="auto"/>
            <w:noWrap/>
            <w:vAlign w:val="bottom"/>
            <w:hideMark/>
          </w:tcPr>
          <w:p w14:paraId="2D77BA5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0.35</w:t>
            </w:r>
          </w:p>
        </w:tc>
        <w:tc>
          <w:tcPr>
            <w:tcW w:w="1080" w:type="dxa"/>
            <w:tcBorders>
              <w:top w:val="nil"/>
              <w:left w:val="nil"/>
              <w:bottom w:val="nil"/>
              <w:right w:val="nil"/>
            </w:tcBorders>
            <w:shd w:val="clear" w:color="auto" w:fill="auto"/>
            <w:noWrap/>
            <w:vAlign w:val="bottom"/>
            <w:hideMark/>
          </w:tcPr>
          <w:p w14:paraId="65353BB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14,816</w:t>
            </w:r>
          </w:p>
        </w:tc>
        <w:tc>
          <w:tcPr>
            <w:tcW w:w="1020" w:type="dxa"/>
            <w:tcBorders>
              <w:top w:val="nil"/>
              <w:left w:val="nil"/>
              <w:bottom w:val="nil"/>
              <w:right w:val="nil"/>
            </w:tcBorders>
            <w:shd w:val="clear" w:color="auto" w:fill="auto"/>
            <w:noWrap/>
            <w:vAlign w:val="bottom"/>
            <w:hideMark/>
          </w:tcPr>
          <w:p w14:paraId="464051E4"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1.71</w:t>
            </w:r>
          </w:p>
        </w:tc>
      </w:tr>
      <w:tr w:rsidR="00DE72F7" w:rsidRPr="00AC72BF" w14:paraId="64179974"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07AF8F5A"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Milan</w:t>
            </w:r>
          </w:p>
        </w:tc>
        <w:tc>
          <w:tcPr>
            <w:tcW w:w="757" w:type="dxa"/>
            <w:gridSpan w:val="2"/>
            <w:tcBorders>
              <w:top w:val="nil"/>
              <w:left w:val="nil"/>
              <w:bottom w:val="nil"/>
              <w:right w:val="nil"/>
            </w:tcBorders>
            <w:shd w:val="clear" w:color="auto" w:fill="auto"/>
            <w:noWrap/>
            <w:vAlign w:val="bottom"/>
            <w:hideMark/>
          </w:tcPr>
          <w:p w14:paraId="751B1921"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6,024</w:t>
            </w:r>
          </w:p>
        </w:tc>
        <w:tc>
          <w:tcPr>
            <w:tcW w:w="917" w:type="dxa"/>
            <w:gridSpan w:val="2"/>
            <w:tcBorders>
              <w:top w:val="nil"/>
              <w:left w:val="nil"/>
              <w:bottom w:val="nil"/>
              <w:right w:val="nil"/>
            </w:tcBorders>
            <w:shd w:val="clear" w:color="auto" w:fill="auto"/>
            <w:noWrap/>
            <w:vAlign w:val="bottom"/>
            <w:hideMark/>
          </w:tcPr>
          <w:p w14:paraId="2B9FF1FD"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7,795</w:t>
            </w:r>
          </w:p>
        </w:tc>
        <w:tc>
          <w:tcPr>
            <w:tcW w:w="636" w:type="dxa"/>
            <w:gridSpan w:val="2"/>
            <w:tcBorders>
              <w:top w:val="nil"/>
              <w:left w:val="nil"/>
              <w:bottom w:val="nil"/>
              <w:right w:val="nil"/>
            </w:tcBorders>
            <w:shd w:val="clear" w:color="auto" w:fill="auto"/>
            <w:noWrap/>
            <w:vAlign w:val="bottom"/>
            <w:hideMark/>
          </w:tcPr>
          <w:p w14:paraId="3213391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1.29</w:t>
            </w:r>
          </w:p>
        </w:tc>
        <w:tc>
          <w:tcPr>
            <w:tcW w:w="920" w:type="dxa"/>
            <w:gridSpan w:val="2"/>
            <w:tcBorders>
              <w:top w:val="nil"/>
              <w:left w:val="nil"/>
              <w:bottom w:val="nil"/>
              <w:right w:val="nil"/>
            </w:tcBorders>
            <w:shd w:val="clear" w:color="auto" w:fill="auto"/>
            <w:noWrap/>
            <w:vAlign w:val="bottom"/>
            <w:hideMark/>
          </w:tcPr>
          <w:p w14:paraId="2681504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3,274</w:t>
            </w:r>
          </w:p>
        </w:tc>
        <w:tc>
          <w:tcPr>
            <w:tcW w:w="740" w:type="dxa"/>
            <w:gridSpan w:val="2"/>
            <w:tcBorders>
              <w:top w:val="nil"/>
              <w:left w:val="nil"/>
              <w:bottom w:val="nil"/>
              <w:right w:val="nil"/>
            </w:tcBorders>
            <w:shd w:val="clear" w:color="auto" w:fill="auto"/>
            <w:noWrap/>
            <w:vAlign w:val="bottom"/>
            <w:hideMark/>
          </w:tcPr>
          <w:p w14:paraId="49F1FE2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0.54</w:t>
            </w:r>
          </w:p>
        </w:tc>
        <w:tc>
          <w:tcPr>
            <w:tcW w:w="980" w:type="dxa"/>
            <w:tcBorders>
              <w:top w:val="nil"/>
              <w:left w:val="nil"/>
              <w:bottom w:val="nil"/>
              <w:right w:val="nil"/>
            </w:tcBorders>
            <w:shd w:val="clear" w:color="auto" w:fill="auto"/>
            <w:noWrap/>
            <w:vAlign w:val="bottom"/>
            <w:hideMark/>
          </w:tcPr>
          <w:p w14:paraId="63B0CF46"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1,770</w:t>
            </w:r>
          </w:p>
        </w:tc>
        <w:tc>
          <w:tcPr>
            <w:tcW w:w="700" w:type="dxa"/>
            <w:tcBorders>
              <w:top w:val="nil"/>
              <w:left w:val="nil"/>
              <w:bottom w:val="nil"/>
              <w:right w:val="nil"/>
            </w:tcBorders>
            <w:shd w:val="clear" w:color="auto" w:fill="auto"/>
            <w:noWrap/>
            <w:vAlign w:val="bottom"/>
            <w:hideMark/>
          </w:tcPr>
          <w:p w14:paraId="110CA2D9"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0.29</w:t>
            </w:r>
          </w:p>
        </w:tc>
        <w:tc>
          <w:tcPr>
            <w:tcW w:w="1080" w:type="dxa"/>
            <w:tcBorders>
              <w:top w:val="nil"/>
              <w:left w:val="nil"/>
              <w:bottom w:val="nil"/>
              <w:right w:val="nil"/>
            </w:tcBorders>
            <w:shd w:val="clear" w:color="auto" w:fill="auto"/>
            <w:noWrap/>
            <w:vAlign w:val="bottom"/>
            <w:hideMark/>
          </w:tcPr>
          <w:p w14:paraId="2CD02052"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11,069</w:t>
            </w:r>
          </w:p>
        </w:tc>
        <w:tc>
          <w:tcPr>
            <w:tcW w:w="1020" w:type="dxa"/>
            <w:tcBorders>
              <w:top w:val="nil"/>
              <w:left w:val="nil"/>
              <w:bottom w:val="nil"/>
              <w:right w:val="nil"/>
            </w:tcBorders>
            <w:shd w:val="clear" w:color="auto" w:fill="auto"/>
            <w:noWrap/>
            <w:vAlign w:val="bottom"/>
            <w:hideMark/>
          </w:tcPr>
          <w:p w14:paraId="4774BA30"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1.84</w:t>
            </w:r>
          </w:p>
        </w:tc>
      </w:tr>
      <w:tr w:rsidR="00DE72F7" w:rsidRPr="00AC72BF" w14:paraId="4A5CE8F9"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7866E50F"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Vienna</w:t>
            </w:r>
          </w:p>
        </w:tc>
        <w:tc>
          <w:tcPr>
            <w:tcW w:w="757" w:type="dxa"/>
            <w:gridSpan w:val="2"/>
            <w:tcBorders>
              <w:top w:val="nil"/>
              <w:left w:val="nil"/>
              <w:bottom w:val="nil"/>
              <w:right w:val="nil"/>
            </w:tcBorders>
            <w:shd w:val="clear" w:color="auto" w:fill="auto"/>
            <w:noWrap/>
            <w:vAlign w:val="bottom"/>
            <w:hideMark/>
          </w:tcPr>
          <w:p w14:paraId="1E6E5C33"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1,052</w:t>
            </w:r>
          </w:p>
        </w:tc>
        <w:tc>
          <w:tcPr>
            <w:tcW w:w="917" w:type="dxa"/>
            <w:gridSpan w:val="2"/>
            <w:tcBorders>
              <w:top w:val="nil"/>
              <w:left w:val="nil"/>
              <w:bottom w:val="nil"/>
              <w:right w:val="nil"/>
            </w:tcBorders>
            <w:shd w:val="clear" w:color="auto" w:fill="auto"/>
            <w:noWrap/>
            <w:vAlign w:val="bottom"/>
            <w:hideMark/>
          </w:tcPr>
          <w:p w14:paraId="0AD3CBCD"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1,163</w:t>
            </w:r>
          </w:p>
        </w:tc>
        <w:tc>
          <w:tcPr>
            <w:tcW w:w="636" w:type="dxa"/>
            <w:gridSpan w:val="2"/>
            <w:tcBorders>
              <w:top w:val="nil"/>
              <w:left w:val="nil"/>
              <w:bottom w:val="nil"/>
              <w:right w:val="nil"/>
            </w:tcBorders>
            <w:shd w:val="clear" w:color="auto" w:fill="auto"/>
            <w:noWrap/>
            <w:vAlign w:val="bottom"/>
            <w:hideMark/>
          </w:tcPr>
          <w:p w14:paraId="7A3E1E95"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1.11</w:t>
            </w:r>
          </w:p>
        </w:tc>
        <w:tc>
          <w:tcPr>
            <w:tcW w:w="920" w:type="dxa"/>
            <w:gridSpan w:val="2"/>
            <w:tcBorders>
              <w:top w:val="nil"/>
              <w:left w:val="nil"/>
              <w:bottom w:val="nil"/>
              <w:right w:val="nil"/>
            </w:tcBorders>
            <w:shd w:val="clear" w:color="auto" w:fill="auto"/>
            <w:noWrap/>
            <w:vAlign w:val="bottom"/>
            <w:hideMark/>
          </w:tcPr>
          <w:p w14:paraId="3C28334A"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374</w:t>
            </w:r>
          </w:p>
        </w:tc>
        <w:tc>
          <w:tcPr>
            <w:tcW w:w="740" w:type="dxa"/>
            <w:gridSpan w:val="2"/>
            <w:tcBorders>
              <w:top w:val="nil"/>
              <w:left w:val="nil"/>
              <w:bottom w:val="nil"/>
              <w:right w:val="nil"/>
            </w:tcBorders>
            <w:shd w:val="clear" w:color="auto" w:fill="auto"/>
            <w:noWrap/>
            <w:vAlign w:val="bottom"/>
            <w:hideMark/>
          </w:tcPr>
          <w:p w14:paraId="6D446CC8"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0.36</w:t>
            </w:r>
          </w:p>
        </w:tc>
        <w:tc>
          <w:tcPr>
            <w:tcW w:w="980" w:type="dxa"/>
            <w:tcBorders>
              <w:top w:val="nil"/>
              <w:left w:val="nil"/>
              <w:bottom w:val="nil"/>
              <w:right w:val="nil"/>
            </w:tcBorders>
            <w:shd w:val="clear" w:color="auto" w:fill="auto"/>
            <w:noWrap/>
            <w:vAlign w:val="bottom"/>
            <w:hideMark/>
          </w:tcPr>
          <w:p w14:paraId="750E18C2"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185</w:t>
            </w:r>
          </w:p>
        </w:tc>
        <w:tc>
          <w:tcPr>
            <w:tcW w:w="700" w:type="dxa"/>
            <w:tcBorders>
              <w:top w:val="nil"/>
              <w:left w:val="nil"/>
              <w:bottom w:val="nil"/>
              <w:right w:val="nil"/>
            </w:tcBorders>
            <w:shd w:val="clear" w:color="auto" w:fill="auto"/>
            <w:noWrap/>
            <w:vAlign w:val="bottom"/>
            <w:hideMark/>
          </w:tcPr>
          <w:p w14:paraId="38D8BE17"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0.18</w:t>
            </w:r>
          </w:p>
        </w:tc>
        <w:tc>
          <w:tcPr>
            <w:tcW w:w="1080" w:type="dxa"/>
            <w:tcBorders>
              <w:top w:val="nil"/>
              <w:left w:val="nil"/>
              <w:bottom w:val="nil"/>
              <w:right w:val="nil"/>
            </w:tcBorders>
            <w:shd w:val="clear" w:color="auto" w:fill="auto"/>
            <w:noWrap/>
            <w:vAlign w:val="bottom"/>
            <w:hideMark/>
          </w:tcPr>
          <w:p w14:paraId="6E015CAF"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1,537</w:t>
            </w:r>
          </w:p>
        </w:tc>
        <w:tc>
          <w:tcPr>
            <w:tcW w:w="1020" w:type="dxa"/>
            <w:tcBorders>
              <w:top w:val="nil"/>
              <w:left w:val="nil"/>
              <w:bottom w:val="nil"/>
              <w:right w:val="nil"/>
            </w:tcBorders>
            <w:shd w:val="clear" w:color="auto" w:fill="auto"/>
            <w:noWrap/>
            <w:vAlign w:val="bottom"/>
            <w:hideMark/>
          </w:tcPr>
          <w:p w14:paraId="454D87BB"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1.46</w:t>
            </w:r>
          </w:p>
        </w:tc>
      </w:tr>
      <w:tr w:rsidR="00DE72F7" w:rsidRPr="00AC72BF" w14:paraId="4DD72FD8" w14:textId="77777777" w:rsidTr="003672BA">
        <w:trPr>
          <w:trHeight w:val="300"/>
        </w:trPr>
        <w:tc>
          <w:tcPr>
            <w:tcW w:w="1648" w:type="dxa"/>
            <w:gridSpan w:val="2"/>
            <w:tcBorders>
              <w:top w:val="nil"/>
              <w:left w:val="nil"/>
              <w:bottom w:val="nil"/>
              <w:right w:val="nil"/>
            </w:tcBorders>
            <w:shd w:val="clear" w:color="auto" w:fill="auto"/>
            <w:noWrap/>
            <w:vAlign w:val="bottom"/>
            <w:hideMark/>
          </w:tcPr>
          <w:p w14:paraId="696282B4"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Leuven</w:t>
            </w:r>
          </w:p>
        </w:tc>
        <w:tc>
          <w:tcPr>
            <w:tcW w:w="757" w:type="dxa"/>
            <w:gridSpan w:val="2"/>
            <w:tcBorders>
              <w:top w:val="nil"/>
              <w:left w:val="nil"/>
              <w:bottom w:val="nil"/>
              <w:right w:val="nil"/>
            </w:tcBorders>
            <w:shd w:val="clear" w:color="auto" w:fill="auto"/>
            <w:noWrap/>
            <w:vAlign w:val="bottom"/>
            <w:hideMark/>
          </w:tcPr>
          <w:p w14:paraId="033D22F6"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5,645</w:t>
            </w:r>
          </w:p>
        </w:tc>
        <w:tc>
          <w:tcPr>
            <w:tcW w:w="917" w:type="dxa"/>
            <w:gridSpan w:val="2"/>
            <w:tcBorders>
              <w:top w:val="nil"/>
              <w:left w:val="nil"/>
              <w:bottom w:val="nil"/>
              <w:right w:val="nil"/>
            </w:tcBorders>
            <w:shd w:val="clear" w:color="auto" w:fill="auto"/>
            <w:noWrap/>
            <w:vAlign w:val="bottom"/>
            <w:hideMark/>
          </w:tcPr>
          <w:p w14:paraId="5B72FC99"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8,817</w:t>
            </w:r>
          </w:p>
        </w:tc>
        <w:tc>
          <w:tcPr>
            <w:tcW w:w="636" w:type="dxa"/>
            <w:gridSpan w:val="2"/>
            <w:tcBorders>
              <w:top w:val="nil"/>
              <w:left w:val="nil"/>
              <w:bottom w:val="nil"/>
              <w:right w:val="nil"/>
            </w:tcBorders>
            <w:shd w:val="clear" w:color="auto" w:fill="auto"/>
            <w:noWrap/>
            <w:vAlign w:val="bottom"/>
            <w:hideMark/>
          </w:tcPr>
          <w:p w14:paraId="6551737E"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1.56</w:t>
            </w:r>
          </w:p>
        </w:tc>
        <w:tc>
          <w:tcPr>
            <w:tcW w:w="920" w:type="dxa"/>
            <w:gridSpan w:val="2"/>
            <w:tcBorders>
              <w:top w:val="nil"/>
              <w:left w:val="nil"/>
              <w:bottom w:val="nil"/>
              <w:right w:val="nil"/>
            </w:tcBorders>
            <w:shd w:val="clear" w:color="auto" w:fill="auto"/>
            <w:noWrap/>
            <w:vAlign w:val="bottom"/>
            <w:hideMark/>
          </w:tcPr>
          <w:p w14:paraId="00C88790"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1,854</w:t>
            </w:r>
          </w:p>
        </w:tc>
        <w:tc>
          <w:tcPr>
            <w:tcW w:w="740" w:type="dxa"/>
            <w:gridSpan w:val="2"/>
            <w:tcBorders>
              <w:top w:val="nil"/>
              <w:left w:val="nil"/>
              <w:bottom w:val="nil"/>
              <w:right w:val="nil"/>
            </w:tcBorders>
            <w:shd w:val="clear" w:color="auto" w:fill="auto"/>
            <w:noWrap/>
            <w:vAlign w:val="bottom"/>
            <w:hideMark/>
          </w:tcPr>
          <w:p w14:paraId="28054A2C"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0.33</w:t>
            </w:r>
          </w:p>
        </w:tc>
        <w:tc>
          <w:tcPr>
            <w:tcW w:w="980" w:type="dxa"/>
            <w:tcBorders>
              <w:top w:val="nil"/>
              <w:left w:val="nil"/>
              <w:bottom w:val="nil"/>
              <w:right w:val="nil"/>
            </w:tcBorders>
            <w:shd w:val="clear" w:color="auto" w:fill="auto"/>
            <w:noWrap/>
            <w:vAlign w:val="bottom"/>
            <w:hideMark/>
          </w:tcPr>
          <w:p w14:paraId="6DFB4FE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2,526</w:t>
            </w:r>
          </w:p>
        </w:tc>
        <w:tc>
          <w:tcPr>
            <w:tcW w:w="700" w:type="dxa"/>
            <w:tcBorders>
              <w:top w:val="nil"/>
              <w:left w:val="nil"/>
              <w:bottom w:val="nil"/>
              <w:right w:val="nil"/>
            </w:tcBorders>
            <w:shd w:val="clear" w:color="auto" w:fill="auto"/>
            <w:noWrap/>
            <w:vAlign w:val="bottom"/>
            <w:hideMark/>
          </w:tcPr>
          <w:p w14:paraId="5D36298D"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0.45</w:t>
            </w:r>
          </w:p>
        </w:tc>
        <w:tc>
          <w:tcPr>
            <w:tcW w:w="1080" w:type="dxa"/>
            <w:tcBorders>
              <w:top w:val="nil"/>
              <w:left w:val="nil"/>
              <w:bottom w:val="nil"/>
              <w:right w:val="nil"/>
            </w:tcBorders>
            <w:shd w:val="clear" w:color="auto" w:fill="auto"/>
            <w:noWrap/>
            <w:vAlign w:val="bottom"/>
            <w:hideMark/>
          </w:tcPr>
          <w:p w14:paraId="01E4DE6B" w14:textId="77777777" w:rsidR="00DE72F7" w:rsidRPr="00AC72BF" w:rsidRDefault="00DE72F7" w:rsidP="003672BA">
            <w:pPr>
              <w:spacing w:after="0" w:line="240" w:lineRule="auto"/>
              <w:ind w:right="93"/>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10,671</w:t>
            </w:r>
          </w:p>
        </w:tc>
        <w:tc>
          <w:tcPr>
            <w:tcW w:w="1020" w:type="dxa"/>
            <w:tcBorders>
              <w:top w:val="nil"/>
              <w:left w:val="nil"/>
              <w:bottom w:val="nil"/>
              <w:right w:val="nil"/>
            </w:tcBorders>
            <w:shd w:val="clear" w:color="auto" w:fill="auto"/>
            <w:noWrap/>
            <w:vAlign w:val="bottom"/>
            <w:hideMark/>
          </w:tcPr>
          <w:p w14:paraId="44355A54" w14:textId="77777777" w:rsidR="00DE72F7" w:rsidRPr="00AC72BF" w:rsidRDefault="00DE72F7" w:rsidP="003672BA">
            <w:pPr>
              <w:spacing w:after="0" w:line="240" w:lineRule="auto"/>
              <w:ind w:right="93"/>
              <w:jc w:val="center"/>
              <w:rPr>
                <w:rFonts w:ascii="Times New Roman" w:eastAsia="Times New Roman" w:hAnsi="Times New Roman"/>
                <w:color w:val="FF0000"/>
                <w:sz w:val="24"/>
                <w:szCs w:val="24"/>
                <w:lang w:val="en-GB"/>
              </w:rPr>
            </w:pPr>
            <w:r w:rsidRPr="00AC72BF">
              <w:rPr>
                <w:rFonts w:ascii="Times New Roman" w:eastAsia="Times New Roman" w:hAnsi="Times New Roman"/>
                <w:color w:val="FF0000"/>
                <w:sz w:val="24"/>
                <w:szCs w:val="24"/>
                <w:lang w:val="en-GB"/>
              </w:rPr>
              <w:t>1.89</w:t>
            </w:r>
          </w:p>
        </w:tc>
      </w:tr>
    </w:tbl>
    <w:p w14:paraId="21BE9D47" w14:textId="77777777" w:rsidR="00A0292E" w:rsidRPr="00AC72BF" w:rsidRDefault="00A0292E" w:rsidP="003672BA">
      <w:pPr>
        <w:spacing w:after="0" w:line="360" w:lineRule="auto"/>
        <w:ind w:left="-142" w:right="93"/>
        <w:jc w:val="both"/>
        <w:rPr>
          <w:rFonts w:ascii="Times New Roman" w:hAnsi="Times New Roman"/>
          <w:b/>
          <w:bCs/>
          <w:sz w:val="24"/>
          <w:szCs w:val="24"/>
          <w:lang w:val="en-GB"/>
        </w:rPr>
      </w:pPr>
    </w:p>
    <w:p w14:paraId="2CF2DAB7" w14:textId="77777777" w:rsidR="00DE72F7" w:rsidRPr="00AC72BF" w:rsidRDefault="00DE72F7" w:rsidP="003672BA">
      <w:pPr>
        <w:spacing w:after="0" w:line="360" w:lineRule="auto"/>
        <w:ind w:right="93"/>
        <w:jc w:val="both"/>
        <w:rPr>
          <w:rFonts w:ascii="Times New Roman" w:hAnsi="Times New Roman"/>
          <w:b/>
          <w:bCs/>
          <w:sz w:val="24"/>
          <w:szCs w:val="24"/>
          <w:lang w:val="en-GB"/>
        </w:rPr>
      </w:pPr>
    </w:p>
    <w:p w14:paraId="2914E3B7" w14:textId="77777777" w:rsidR="00A0292E" w:rsidRPr="00AC72BF" w:rsidRDefault="00A0292E" w:rsidP="003672BA">
      <w:pPr>
        <w:spacing w:after="0" w:line="360" w:lineRule="auto"/>
        <w:ind w:left="1494" w:right="93"/>
        <w:jc w:val="both"/>
        <w:rPr>
          <w:rFonts w:ascii="Times New Roman" w:hAnsi="Times New Roman"/>
          <w:b/>
          <w:bCs/>
          <w:sz w:val="24"/>
          <w:szCs w:val="24"/>
          <w:lang w:val="en-GB"/>
        </w:rPr>
      </w:pPr>
      <w:r w:rsidRPr="00AC72BF">
        <w:rPr>
          <w:rFonts w:ascii="Times New Roman" w:hAnsi="Times New Roman"/>
          <w:noProof/>
          <w:sz w:val="24"/>
          <w:szCs w:val="24"/>
          <w:lang w:eastAsia="cs-CZ"/>
        </w:rPr>
        <w:lastRenderedPageBreak/>
        <w:drawing>
          <wp:inline distT="0" distB="0" distL="0" distR="0" wp14:anchorId="2B84F54D" wp14:editId="26C359B9">
            <wp:extent cx="5759450" cy="3702504"/>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702504"/>
                    </a:xfrm>
                    <a:prstGeom prst="rect">
                      <a:avLst/>
                    </a:prstGeom>
                    <a:noFill/>
                    <a:ln>
                      <a:noFill/>
                    </a:ln>
                  </pic:spPr>
                </pic:pic>
              </a:graphicData>
            </a:graphic>
          </wp:inline>
        </w:drawing>
      </w:r>
    </w:p>
    <w:p w14:paraId="2170B5C1" w14:textId="77777777" w:rsidR="00A0292E" w:rsidRPr="00AC72BF" w:rsidRDefault="00A0292E" w:rsidP="003672BA">
      <w:pPr>
        <w:spacing w:after="0" w:line="360" w:lineRule="auto"/>
        <w:ind w:left="1494" w:right="93"/>
        <w:jc w:val="both"/>
        <w:rPr>
          <w:rFonts w:ascii="Times New Roman" w:hAnsi="Times New Roman"/>
          <w:b/>
          <w:bCs/>
          <w:sz w:val="24"/>
          <w:szCs w:val="24"/>
          <w:lang w:val="en-GB"/>
        </w:rPr>
      </w:pPr>
    </w:p>
    <w:p w14:paraId="3F4DCA7A" w14:textId="3B1E3176" w:rsidR="0019165E" w:rsidRDefault="0019165E" w:rsidP="0019165E">
      <w:pPr>
        <w:spacing w:after="0" w:line="360" w:lineRule="auto"/>
        <w:jc w:val="both"/>
        <w:rPr>
          <w:rFonts w:ascii="Times New Roman" w:hAnsi="Times New Roman"/>
          <w:b/>
          <w:bCs/>
          <w:sz w:val="24"/>
          <w:szCs w:val="24"/>
          <w:lang w:val="en-GB"/>
        </w:rPr>
      </w:pPr>
      <w:r w:rsidRPr="00AC72BF">
        <w:rPr>
          <w:rFonts w:ascii="Times New Roman" w:hAnsi="Times New Roman"/>
          <w:b/>
          <w:bCs/>
          <w:sz w:val="24"/>
          <w:szCs w:val="24"/>
          <w:lang w:val="en-GB"/>
        </w:rPr>
        <w:t>Compar</w:t>
      </w:r>
      <w:r w:rsidR="00FA25A8">
        <w:rPr>
          <w:rFonts w:ascii="Times New Roman" w:hAnsi="Times New Roman"/>
          <w:b/>
          <w:bCs/>
          <w:sz w:val="24"/>
          <w:szCs w:val="24"/>
          <w:lang w:val="en-GB"/>
        </w:rPr>
        <w:t>ed</w:t>
      </w:r>
      <w:r w:rsidRPr="00AC72BF">
        <w:rPr>
          <w:rFonts w:ascii="Times New Roman" w:hAnsi="Times New Roman"/>
          <w:b/>
          <w:bCs/>
          <w:sz w:val="24"/>
          <w:szCs w:val="24"/>
          <w:lang w:val="en-GB"/>
        </w:rPr>
        <w:t xml:space="preserve"> with benchmark </w:t>
      </w:r>
      <w:r w:rsidR="00FA25A8">
        <w:rPr>
          <w:rFonts w:ascii="Times New Roman" w:hAnsi="Times New Roman"/>
          <w:b/>
          <w:bCs/>
          <w:sz w:val="24"/>
          <w:szCs w:val="24"/>
          <w:lang w:val="en-GB"/>
        </w:rPr>
        <w:t>u</w:t>
      </w:r>
      <w:r w:rsidRPr="00AC72BF">
        <w:rPr>
          <w:rFonts w:ascii="Times New Roman" w:hAnsi="Times New Roman"/>
          <w:b/>
          <w:bCs/>
          <w:sz w:val="24"/>
          <w:szCs w:val="24"/>
          <w:lang w:val="en-GB"/>
        </w:rPr>
        <w:t>niversities</w:t>
      </w:r>
      <w:r w:rsidR="00FA25A8">
        <w:rPr>
          <w:rFonts w:ascii="Times New Roman" w:hAnsi="Times New Roman"/>
          <w:b/>
          <w:bCs/>
          <w:sz w:val="24"/>
          <w:szCs w:val="24"/>
          <w:lang w:val="en-GB"/>
        </w:rPr>
        <w:t>,</w:t>
      </w:r>
      <w:r w:rsidRPr="00AC72BF">
        <w:rPr>
          <w:rFonts w:ascii="Times New Roman" w:hAnsi="Times New Roman"/>
          <w:b/>
          <w:bCs/>
          <w:sz w:val="24"/>
          <w:szCs w:val="24"/>
          <w:lang w:val="en-GB"/>
        </w:rPr>
        <w:t xml:space="preserve"> CUNI </w:t>
      </w:r>
      <w:r>
        <w:rPr>
          <w:rFonts w:ascii="Times New Roman" w:hAnsi="Times New Roman"/>
          <w:b/>
          <w:bCs/>
          <w:sz w:val="24"/>
          <w:szCs w:val="24"/>
          <w:lang w:val="en-GB"/>
        </w:rPr>
        <w:t>authors in medical and health sciences</w:t>
      </w:r>
      <w:r w:rsidRPr="00AC72BF">
        <w:rPr>
          <w:rFonts w:ascii="Times New Roman" w:hAnsi="Times New Roman"/>
          <w:b/>
          <w:bCs/>
          <w:sz w:val="24"/>
          <w:szCs w:val="24"/>
          <w:lang w:val="en-GB"/>
        </w:rPr>
        <w:t xml:space="preserve"> publish</w:t>
      </w:r>
      <w:r w:rsidR="00FA25A8">
        <w:rPr>
          <w:rFonts w:ascii="Times New Roman" w:hAnsi="Times New Roman"/>
          <w:b/>
          <w:bCs/>
          <w:sz w:val="24"/>
          <w:szCs w:val="24"/>
          <w:lang w:val="en-GB"/>
        </w:rPr>
        <w:t xml:space="preserve"> a</w:t>
      </w:r>
      <w:r w:rsidRPr="00AC72BF">
        <w:rPr>
          <w:rFonts w:ascii="Times New Roman" w:hAnsi="Times New Roman"/>
          <w:b/>
          <w:bCs/>
          <w:sz w:val="24"/>
          <w:szCs w:val="24"/>
          <w:lang w:val="en-GB"/>
        </w:rPr>
        <w:t xml:space="preserve"> similar total</w:t>
      </w:r>
      <w:r w:rsidR="00FA25A8">
        <w:rPr>
          <w:rFonts w:ascii="Times New Roman" w:hAnsi="Times New Roman"/>
          <w:b/>
          <w:bCs/>
          <w:sz w:val="24"/>
          <w:szCs w:val="24"/>
          <w:lang w:val="en-GB"/>
        </w:rPr>
        <w:t xml:space="preserve"> number</w:t>
      </w:r>
      <w:r w:rsidRPr="00AC72BF">
        <w:rPr>
          <w:rFonts w:ascii="Times New Roman" w:hAnsi="Times New Roman"/>
          <w:b/>
          <w:bCs/>
          <w:sz w:val="24"/>
          <w:szCs w:val="24"/>
          <w:lang w:val="en-GB"/>
        </w:rPr>
        <w:t xml:space="preserve"> of papers per author</w:t>
      </w:r>
      <w:r w:rsidR="00FA25A8">
        <w:rPr>
          <w:rFonts w:ascii="Times New Roman" w:hAnsi="Times New Roman"/>
          <w:b/>
          <w:bCs/>
          <w:sz w:val="24"/>
          <w:szCs w:val="24"/>
          <w:lang w:val="en-GB"/>
        </w:rPr>
        <w:t>.  H</w:t>
      </w:r>
      <w:r w:rsidRPr="00AC72BF">
        <w:rPr>
          <w:rFonts w:ascii="Times New Roman" w:hAnsi="Times New Roman"/>
          <w:b/>
          <w:bCs/>
          <w:sz w:val="24"/>
          <w:szCs w:val="24"/>
          <w:lang w:val="en-GB"/>
        </w:rPr>
        <w:t>owever</w:t>
      </w:r>
      <w:r w:rsidR="00FA25A8">
        <w:rPr>
          <w:rFonts w:ascii="Times New Roman" w:hAnsi="Times New Roman"/>
          <w:b/>
          <w:bCs/>
          <w:sz w:val="24"/>
          <w:szCs w:val="24"/>
          <w:lang w:val="en-GB"/>
        </w:rPr>
        <w:t>, CUNI authors have fewer</w:t>
      </w:r>
      <w:r w:rsidR="00FB22F7">
        <w:rPr>
          <w:rFonts w:ascii="Times New Roman" w:hAnsi="Times New Roman"/>
          <w:b/>
          <w:bCs/>
          <w:sz w:val="24"/>
          <w:szCs w:val="24"/>
          <w:lang w:val="en-GB"/>
        </w:rPr>
        <w:t xml:space="preserve"> </w:t>
      </w:r>
      <w:r w:rsidRPr="00AC72BF">
        <w:rPr>
          <w:rFonts w:ascii="Times New Roman" w:hAnsi="Times New Roman"/>
          <w:b/>
          <w:bCs/>
          <w:sz w:val="24"/>
          <w:szCs w:val="24"/>
          <w:lang w:val="en-GB"/>
        </w:rPr>
        <w:t>publications in</w:t>
      </w:r>
      <w:r w:rsidR="00FA25A8">
        <w:rPr>
          <w:rFonts w:ascii="Times New Roman" w:hAnsi="Times New Roman"/>
          <w:b/>
          <w:bCs/>
          <w:sz w:val="24"/>
          <w:szCs w:val="24"/>
          <w:lang w:val="en-GB"/>
        </w:rPr>
        <w:t xml:space="preserve"> the</w:t>
      </w:r>
      <w:r w:rsidRPr="00AC72BF">
        <w:rPr>
          <w:rFonts w:ascii="Times New Roman" w:hAnsi="Times New Roman"/>
          <w:b/>
          <w:bCs/>
          <w:sz w:val="24"/>
          <w:szCs w:val="24"/>
          <w:lang w:val="en-GB"/>
        </w:rPr>
        <w:t xml:space="preserve"> upper 50</w:t>
      </w:r>
      <w:r w:rsidR="00FA25A8" w:rsidRPr="00E31BF7">
        <w:rPr>
          <w:rFonts w:ascii="Times New Roman" w:hAnsi="Times New Roman"/>
          <w:b/>
          <w:bCs/>
          <w:sz w:val="24"/>
          <w:szCs w:val="24"/>
          <w:vertAlign w:val="superscript"/>
          <w:lang w:val="en-GB"/>
        </w:rPr>
        <w:t>th</w:t>
      </w:r>
      <w:r w:rsidR="00FA25A8">
        <w:rPr>
          <w:rFonts w:ascii="Times New Roman" w:hAnsi="Times New Roman"/>
          <w:b/>
          <w:bCs/>
          <w:sz w:val="24"/>
          <w:szCs w:val="24"/>
          <w:lang w:val="en-GB"/>
        </w:rPr>
        <w:t xml:space="preserve"> percentile</w:t>
      </w:r>
      <w:r w:rsidRPr="00AC72BF">
        <w:rPr>
          <w:rFonts w:ascii="Times New Roman" w:hAnsi="Times New Roman"/>
          <w:b/>
          <w:bCs/>
          <w:sz w:val="24"/>
          <w:szCs w:val="24"/>
          <w:lang w:val="en-GB"/>
        </w:rPr>
        <w:t xml:space="preserve">  of Journals AIS, and </w:t>
      </w:r>
      <w:r w:rsidR="00FA25A8">
        <w:rPr>
          <w:rFonts w:ascii="Times New Roman" w:hAnsi="Times New Roman"/>
          <w:b/>
          <w:bCs/>
          <w:sz w:val="24"/>
          <w:szCs w:val="24"/>
          <w:lang w:val="en-GB"/>
        </w:rPr>
        <w:t>more below the 50</w:t>
      </w:r>
      <w:r w:rsidR="00FA25A8" w:rsidRPr="00E31BF7">
        <w:rPr>
          <w:rFonts w:ascii="Times New Roman" w:hAnsi="Times New Roman"/>
          <w:b/>
          <w:bCs/>
          <w:sz w:val="24"/>
          <w:szCs w:val="24"/>
          <w:vertAlign w:val="superscript"/>
          <w:lang w:val="en-GB"/>
        </w:rPr>
        <w:t>th</w:t>
      </w:r>
      <w:r w:rsidR="00FA25A8">
        <w:rPr>
          <w:rFonts w:ascii="Times New Roman" w:hAnsi="Times New Roman"/>
          <w:b/>
          <w:bCs/>
          <w:sz w:val="24"/>
          <w:szCs w:val="24"/>
          <w:lang w:val="en-GB"/>
        </w:rPr>
        <w:t xml:space="preserve"> percentile</w:t>
      </w:r>
      <w:r w:rsidRPr="00AC72BF">
        <w:rPr>
          <w:rFonts w:ascii="Times New Roman" w:hAnsi="Times New Roman"/>
          <w:b/>
          <w:bCs/>
          <w:sz w:val="24"/>
          <w:szCs w:val="24"/>
          <w:lang w:val="en-GB"/>
        </w:rPr>
        <w:t xml:space="preserve"> of AIS Journals.</w:t>
      </w:r>
      <w:r>
        <w:rPr>
          <w:rFonts w:ascii="Times New Roman" w:hAnsi="Times New Roman"/>
          <w:b/>
          <w:bCs/>
          <w:sz w:val="24"/>
          <w:szCs w:val="24"/>
          <w:lang w:val="en-GB"/>
        </w:rPr>
        <w:t xml:space="preserve"> The </w:t>
      </w:r>
      <w:r w:rsidR="00FA25A8">
        <w:rPr>
          <w:rFonts w:ascii="Times New Roman" w:hAnsi="Times New Roman"/>
          <w:b/>
          <w:bCs/>
          <w:sz w:val="24"/>
          <w:szCs w:val="24"/>
          <w:lang w:val="en-GB"/>
        </w:rPr>
        <w:t xml:space="preserve">proportion </w:t>
      </w:r>
      <w:r>
        <w:rPr>
          <w:rFonts w:ascii="Times New Roman" w:hAnsi="Times New Roman"/>
          <w:b/>
          <w:bCs/>
          <w:sz w:val="24"/>
          <w:szCs w:val="24"/>
          <w:lang w:val="en-GB"/>
        </w:rPr>
        <w:t xml:space="preserve">of CUNI authors </w:t>
      </w:r>
      <w:r w:rsidR="00FA25A8">
        <w:rPr>
          <w:rFonts w:ascii="Times New Roman" w:hAnsi="Times New Roman"/>
          <w:b/>
          <w:bCs/>
          <w:sz w:val="24"/>
          <w:szCs w:val="24"/>
          <w:lang w:val="en-GB"/>
        </w:rPr>
        <w:t xml:space="preserve">with </w:t>
      </w:r>
      <w:r>
        <w:rPr>
          <w:rFonts w:ascii="Times New Roman" w:hAnsi="Times New Roman"/>
          <w:b/>
          <w:bCs/>
          <w:sz w:val="24"/>
          <w:szCs w:val="24"/>
          <w:lang w:val="en-GB"/>
        </w:rPr>
        <w:t>publications in the top 10% journals (Fc/Ac = 0.126) is lower than that of benchmark universities (average 0.243)</w:t>
      </w:r>
      <w:r w:rsidR="00FA25A8">
        <w:rPr>
          <w:rFonts w:ascii="Times New Roman" w:hAnsi="Times New Roman"/>
          <w:b/>
          <w:bCs/>
          <w:sz w:val="24"/>
          <w:szCs w:val="24"/>
          <w:lang w:val="en-GB"/>
        </w:rPr>
        <w:t xml:space="preserve">, with the proportions of </w:t>
      </w:r>
      <w:r>
        <w:rPr>
          <w:rFonts w:ascii="Times New Roman" w:hAnsi="Times New Roman"/>
          <w:b/>
          <w:bCs/>
          <w:sz w:val="24"/>
          <w:szCs w:val="24"/>
          <w:lang w:val="en-GB"/>
        </w:rPr>
        <w:t xml:space="preserve">Copenhagen (Fc/Ac = 0.314)  and Leuven (Fc/Ac = 0.295) </w:t>
      </w:r>
      <w:r w:rsidR="00FA25A8">
        <w:rPr>
          <w:rFonts w:ascii="Times New Roman" w:hAnsi="Times New Roman"/>
          <w:b/>
          <w:bCs/>
          <w:sz w:val="24"/>
          <w:szCs w:val="24"/>
          <w:lang w:val="en-GB"/>
        </w:rPr>
        <w:t>being</w:t>
      </w:r>
      <w:r>
        <w:rPr>
          <w:rFonts w:ascii="Times New Roman" w:hAnsi="Times New Roman"/>
          <w:b/>
          <w:bCs/>
          <w:sz w:val="24"/>
          <w:szCs w:val="24"/>
          <w:lang w:val="en-GB"/>
        </w:rPr>
        <w:t xml:space="preserve"> the highest. </w:t>
      </w:r>
    </w:p>
    <w:p w14:paraId="265D9253" w14:textId="3C317299" w:rsidR="0019165E" w:rsidRDefault="0019165E"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t xml:space="preserve">The percentage of CUNI FC outputs among AC outputs in </w:t>
      </w:r>
      <w:r w:rsidR="005F1CBF">
        <w:rPr>
          <w:rFonts w:ascii="Times New Roman" w:hAnsi="Times New Roman"/>
          <w:b/>
          <w:bCs/>
          <w:sz w:val="24"/>
          <w:szCs w:val="24"/>
          <w:lang w:val="en-GB"/>
        </w:rPr>
        <w:t xml:space="preserve">the </w:t>
      </w:r>
      <w:r>
        <w:rPr>
          <w:rFonts w:ascii="Times New Roman" w:hAnsi="Times New Roman"/>
          <w:b/>
          <w:bCs/>
          <w:sz w:val="24"/>
          <w:szCs w:val="24"/>
          <w:lang w:val="en-GB"/>
        </w:rPr>
        <w:t xml:space="preserve">top </w:t>
      </w:r>
      <w:r w:rsidR="005F1CBF">
        <w:rPr>
          <w:rFonts w:ascii="Times New Roman" w:hAnsi="Times New Roman"/>
          <w:b/>
          <w:bCs/>
          <w:sz w:val="24"/>
          <w:szCs w:val="24"/>
          <w:lang w:val="en-GB"/>
        </w:rPr>
        <w:t>50</w:t>
      </w:r>
      <w:r w:rsidR="005F1CBF" w:rsidRPr="00E31BF7">
        <w:rPr>
          <w:rFonts w:ascii="Times New Roman" w:hAnsi="Times New Roman"/>
          <w:b/>
          <w:bCs/>
          <w:sz w:val="24"/>
          <w:szCs w:val="24"/>
          <w:vertAlign w:val="superscript"/>
          <w:lang w:val="en-GB"/>
        </w:rPr>
        <w:t>th</w:t>
      </w:r>
      <w:r w:rsidR="005F1CBF">
        <w:rPr>
          <w:rFonts w:ascii="Times New Roman" w:hAnsi="Times New Roman"/>
          <w:b/>
          <w:bCs/>
          <w:sz w:val="24"/>
          <w:szCs w:val="24"/>
          <w:lang w:val="en-GB"/>
        </w:rPr>
        <w:t xml:space="preserve"> percentil</w:t>
      </w:r>
      <w:r>
        <w:rPr>
          <w:rFonts w:ascii="Times New Roman" w:hAnsi="Times New Roman"/>
          <w:b/>
          <w:bCs/>
          <w:sz w:val="24"/>
          <w:szCs w:val="24"/>
          <w:lang w:val="en-GB"/>
        </w:rPr>
        <w:t xml:space="preserve"> journals </w:t>
      </w:r>
      <w:r w:rsidR="005F1CBF">
        <w:rPr>
          <w:rFonts w:ascii="Times New Roman" w:hAnsi="Times New Roman"/>
          <w:b/>
          <w:bCs/>
          <w:sz w:val="24"/>
          <w:szCs w:val="24"/>
          <w:lang w:val="en-GB"/>
        </w:rPr>
        <w:t xml:space="preserve">was </w:t>
      </w:r>
      <w:r>
        <w:rPr>
          <w:rFonts w:ascii="Times New Roman" w:hAnsi="Times New Roman"/>
          <w:b/>
          <w:bCs/>
          <w:sz w:val="24"/>
          <w:szCs w:val="24"/>
          <w:lang w:val="en-GB"/>
        </w:rPr>
        <w:t>950/3162</w:t>
      </w:r>
      <w:r w:rsidR="005F1CBF">
        <w:rPr>
          <w:rFonts w:ascii="Times New Roman" w:hAnsi="Times New Roman"/>
          <w:b/>
          <w:bCs/>
          <w:sz w:val="24"/>
          <w:szCs w:val="24"/>
          <w:lang w:val="en-GB"/>
        </w:rPr>
        <w:t xml:space="preserve"> (</w:t>
      </w:r>
      <w:r>
        <w:rPr>
          <w:rFonts w:ascii="Times New Roman" w:hAnsi="Times New Roman"/>
          <w:b/>
          <w:bCs/>
          <w:sz w:val="24"/>
          <w:szCs w:val="24"/>
          <w:lang w:val="en-GB"/>
        </w:rPr>
        <w:t xml:space="preserve"> 0.30) compared to benchmark universities (Heidelberg 0.38, Warsaw 0.36, Copenhagen 0.40, Milano 0.31, Vienna 0.37, Leuven 0,38; average 0.37)</w:t>
      </w:r>
      <w:r w:rsidR="005F1CBF">
        <w:rPr>
          <w:rFonts w:ascii="Times New Roman" w:hAnsi="Times New Roman"/>
          <w:b/>
          <w:bCs/>
          <w:sz w:val="24"/>
          <w:szCs w:val="24"/>
          <w:lang w:val="en-GB"/>
        </w:rPr>
        <w:t>, which was slightly lower</w:t>
      </w:r>
      <w:r>
        <w:rPr>
          <w:rFonts w:ascii="Times New Roman" w:hAnsi="Times New Roman"/>
          <w:b/>
          <w:bCs/>
          <w:sz w:val="24"/>
          <w:szCs w:val="24"/>
          <w:lang w:val="en-GB"/>
        </w:rPr>
        <w:t xml:space="preserve">. </w:t>
      </w:r>
    </w:p>
    <w:p w14:paraId="6EC3321F" w14:textId="2EA36A27" w:rsidR="0019165E" w:rsidRDefault="0019165E"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lastRenderedPageBreak/>
        <w:t xml:space="preserve">In the bottom </w:t>
      </w:r>
      <w:r w:rsidR="005F1CBF">
        <w:rPr>
          <w:rFonts w:ascii="Times New Roman" w:hAnsi="Times New Roman"/>
          <w:b/>
          <w:bCs/>
          <w:sz w:val="24"/>
          <w:szCs w:val="24"/>
          <w:lang w:val="en-GB"/>
        </w:rPr>
        <w:t>50</w:t>
      </w:r>
      <w:r w:rsidR="005F1CBF" w:rsidRPr="00E31BF7">
        <w:rPr>
          <w:rFonts w:ascii="Times New Roman" w:hAnsi="Times New Roman"/>
          <w:b/>
          <w:bCs/>
          <w:sz w:val="24"/>
          <w:szCs w:val="24"/>
          <w:vertAlign w:val="superscript"/>
          <w:lang w:val="en-GB"/>
        </w:rPr>
        <w:t>th</w:t>
      </w:r>
      <w:r w:rsidR="005F1CBF">
        <w:rPr>
          <w:rFonts w:ascii="Times New Roman" w:hAnsi="Times New Roman"/>
          <w:b/>
          <w:bCs/>
          <w:sz w:val="24"/>
          <w:szCs w:val="24"/>
          <w:lang w:val="en-GB"/>
        </w:rPr>
        <w:t xml:space="preserve"> percentile of </w:t>
      </w:r>
      <w:r>
        <w:rPr>
          <w:rFonts w:ascii="Times New Roman" w:hAnsi="Times New Roman"/>
          <w:b/>
          <w:bCs/>
          <w:sz w:val="24"/>
          <w:szCs w:val="24"/>
          <w:lang w:val="en-GB"/>
        </w:rPr>
        <w:t>journals</w:t>
      </w:r>
      <w:r w:rsidR="005F1CBF">
        <w:rPr>
          <w:rFonts w:ascii="Times New Roman" w:hAnsi="Times New Roman"/>
          <w:b/>
          <w:bCs/>
          <w:sz w:val="24"/>
          <w:szCs w:val="24"/>
          <w:lang w:val="en-GB"/>
        </w:rPr>
        <w:t>,</w:t>
      </w:r>
      <w:r>
        <w:rPr>
          <w:rFonts w:ascii="Times New Roman" w:hAnsi="Times New Roman"/>
          <w:b/>
          <w:bCs/>
          <w:sz w:val="24"/>
          <w:szCs w:val="24"/>
          <w:lang w:val="en-GB"/>
        </w:rPr>
        <w:t xml:space="preserve"> the percentage of CUNI FC outputs among AC outputs </w:t>
      </w:r>
      <w:r w:rsidR="005F1CBF">
        <w:rPr>
          <w:rFonts w:ascii="Times New Roman" w:hAnsi="Times New Roman"/>
          <w:b/>
          <w:bCs/>
          <w:sz w:val="24"/>
          <w:szCs w:val="24"/>
          <w:lang w:val="en-GB"/>
        </w:rPr>
        <w:t xml:space="preserve">was </w:t>
      </w:r>
      <w:r>
        <w:rPr>
          <w:rFonts w:ascii="Times New Roman" w:hAnsi="Times New Roman"/>
          <w:b/>
          <w:bCs/>
          <w:sz w:val="24"/>
          <w:szCs w:val="24"/>
          <w:lang w:val="en-GB"/>
        </w:rPr>
        <w:t>1431/2867</w:t>
      </w:r>
      <w:r w:rsidR="005F1CBF">
        <w:rPr>
          <w:rFonts w:ascii="Times New Roman" w:hAnsi="Times New Roman"/>
          <w:b/>
          <w:bCs/>
          <w:sz w:val="24"/>
          <w:szCs w:val="24"/>
          <w:lang w:val="en-GB"/>
        </w:rPr>
        <w:t xml:space="preserve"> (0.</w:t>
      </w:r>
      <w:r>
        <w:rPr>
          <w:rFonts w:ascii="Times New Roman" w:hAnsi="Times New Roman"/>
          <w:b/>
          <w:bCs/>
          <w:sz w:val="24"/>
          <w:szCs w:val="24"/>
          <w:lang w:val="en-GB"/>
        </w:rPr>
        <w:t xml:space="preserve">50)compared to benchmark universities (Heidelberg 0.50, Warsaw 0.54, Copenhagen 0.49, Milano 0.40, Vienna 0.41, Leuven 0,42; average 0.46)  </w:t>
      </w:r>
      <w:r w:rsidR="005F1CBF">
        <w:rPr>
          <w:rFonts w:ascii="Times New Roman" w:hAnsi="Times New Roman"/>
          <w:b/>
          <w:bCs/>
          <w:sz w:val="24"/>
          <w:szCs w:val="24"/>
          <w:lang w:val="en-GB"/>
        </w:rPr>
        <w:t>was</w:t>
      </w:r>
      <w:r>
        <w:rPr>
          <w:rFonts w:ascii="Times New Roman" w:hAnsi="Times New Roman"/>
          <w:b/>
          <w:bCs/>
          <w:sz w:val="24"/>
          <w:szCs w:val="24"/>
          <w:lang w:val="en-GB"/>
        </w:rPr>
        <w:t xml:space="preserve"> slightly higher. </w:t>
      </w:r>
    </w:p>
    <w:p w14:paraId="5166C366" w14:textId="65D7D8FC" w:rsidR="0019165E" w:rsidRDefault="0019165E" w:rsidP="0019165E">
      <w:pPr>
        <w:rPr>
          <w:rFonts w:ascii="Times New Roman" w:hAnsi="Times New Roman"/>
          <w:b/>
          <w:bCs/>
          <w:sz w:val="24"/>
          <w:szCs w:val="24"/>
          <w:lang w:val="en-GB"/>
        </w:rPr>
      </w:pPr>
      <w:r w:rsidRPr="00AC72BF">
        <w:rPr>
          <w:rFonts w:ascii="Times New Roman" w:hAnsi="Times New Roman"/>
          <w:b/>
          <w:bCs/>
          <w:sz w:val="24"/>
          <w:szCs w:val="24"/>
          <w:lang w:val="en-GB"/>
        </w:rPr>
        <w:t xml:space="preserve"> </w:t>
      </w:r>
      <w:r w:rsidR="005F1CBF">
        <w:rPr>
          <w:rFonts w:ascii="Times New Roman" w:hAnsi="Times New Roman"/>
          <w:b/>
          <w:bCs/>
          <w:sz w:val="24"/>
          <w:szCs w:val="24"/>
          <w:lang w:val="en-GB"/>
        </w:rPr>
        <w:t>With</w:t>
      </w:r>
      <w:r>
        <w:rPr>
          <w:rFonts w:ascii="Times New Roman" w:hAnsi="Times New Roman"/>
          <w:b/>
          <w:bCs/>
          <w:sz w:val="24"/>
          <w:szCs w:val="24"/>
          <w:lang w:val="en-GB"/>
        </w:rPr>
        <w:t xml:space="preserve"> quality of publishing as a measure,</w:t>
      </w:r>
      <w:r w:rsidRPr="00AC72BF">
        <w:rPr>
          <w:rFonts w:ascii="Times New Roman" w:hAnsi="Times New Roman"/>
          <w:b/>
          <w:bCs/>
          <w:sz w:val="24"/>
          <w:szCs w:val="24"/>
          <w:lang w:val="en-GB"/>
        </w:rPr>
        <w:t xml:space="preserve"> the quality</w:t>
      </w:r>
      <w:r w:rsidR="005F1CBF">
        <w:rPr>
          <w:rFonts w:ascii="Times New Roman" w:hAnsi="Times New Roman"/>
          <w:b/>
          <w:bCs/>
          <w:sz w:val="24"/>
          <w:szCs w:val="24"/>
          <w:lang w:val="en-GB"/>
        </w:rPr>
        <w:t xml:space="preserve"> of CUNI publications</w:t>
      </w:r>
      <w:r w:rsidRPr="00AC72BF">
        <w:rPr>
          <w:rFonts w:ascii="Times New Roman" w:hAnsi="Times New Roman"/>
          <w:b/>
          <w:bCs/>
          <w:sz w:val="24"/>
          <w:szCs w:val="24"/>
          <w:lang w:val="en-GB"/>
        </w:rPr>
        <w:t xml:space="preserve"> i</w:t>
      </w:r>
      <w:r>
        <w:rPr>
          <w:rFonts w:ascii="Times New Roman" w:hAnsi="Times New Roman"/>
          <w:b/>
          <w:bCs/>
          <w:sz w:val="24"/>
          <w:szCs w:val="24"/>
          <w:lang w:val="en-GB"/>
        </w:rPr>
        <w:t>s</w:t>
      </w:r>
      <w:r w:rsidRPr="00AC72BF">
        <w:rPr>
          <w:rFonts w:ascii="Times New Roman" w:hAnsi="Times New Roman"/>
          <w:b/>
          <w:bCs/>
          <w:sz w:val="24"/>
          <w:szCs w:val="24"/>
          <w:lang w:val="en-GB"/>
        </w:rPr>
        <w:t xml:space="preserve"> below the European benchmark universities. </w:t>
      </w:r>
    </w:p>
    <w:p w14:paraId="6E630EDF" w14:textId="77777777" w:rsidR="0019165E" w:rsidRPr="00AC72BF" w:rsidRDefault="0019165E" w:rsidP="0019165E">
      <w:pPr>
        <w:rPr>
          <w:rFonts w:ascii="Times New Roman" w:hAnsi="Times New Roman"/>
          <w:b/>
          <w:bCs/>
          <w:sz w:val="24"/>
          <w:szCs w:val="24"/>
          <w:lang w:val="en-GB"/>
        </w:rPr>
      </w:pPr>
    </w:p>
    <w:p w14:paraId="50B98921" w14:textId="6AC6EB83" w:rsidR="00E12703" w:rsidRPr="00AC72BF" w:rsidRDefault="00E12703" w:rsidP="003672BA">
      <w:pPr>
        <w:ind w:right="93"/>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There are two important caveats</w:t>
      </w:r>
      <w:r w:rsidR="005F1CBF">
        <w:rPr>
          <w:rFonts w:ascii="Times New Roman" w:eastAsia="Times New Roman" w:hAnsi="Times New Roman"/>
          <w:b/>
          <w:color w:val="000000"/>
          <w:sz w:val="24"/>
          <w:szCs w:val="24"/>
          <w:shd w:val="clear" w:color="auto" w:fill="FFFFFF"/>
          <w:lang w:val="en-GB"/>
        </w:rPr>
        <w:t xml:space="preserve"> that</w:t>
      </w:r>
      <w:r w:rsidRPr="00AC72BF">
        <w:rPr>
          <w:rFonts w:ascii="Times New Roman" w:eastAsia="Times New Roman" w:hAnsi="Times New Roman"/>
          <w:b/>
          <w:color w:val="000000"/>
          <w:sz w:val="24"/>
          <w:szCs w:val="24"/>
          <w:shd w:val="clear" w:color="auto" w:fill="FFFFFF"/>
          <w:lang w:val="en-GB"/>
        </w:rPr>
        <w:t xml:space="preserve"> need to be appreciated:</w:t>
      </w:r>
    </w:p>
    <w:p w14:paraId="78CE99E4" w14:textId="77777777" w:rsidR="00E12703" w:rsidRPr="00AC72BF" w:rsidRDefault="00E12703" w:rsidP="003672BA">
      <w:pPr>
        <w:spacing w:after="0"/>
        <w:ind w:right="93"/>
        <w:rPr>
          <w:rFonts w:ascii="Times New Roman" w:eastAsia="Times New Roman" w:hAnsi="Times New Roman"/>
          <w:b/>
          <w:color w:val="000000"/>
          <w:sz w:val="24"/>
          <w:szCs w:val="24"/>
          <w:lang w:val="en-GB"/>
        </w:rPr>
      </w:pPr>
    </w:p>
    <w:p w14:paraId="0264D42D" w14:textId="70B4D04C" w:rsidR="00E12703" w:rsidRPr="00AC72BF" w:rsidRDefault="00E12703" w:rsidP="003672BA">
      <w:pPr>
        <w:spacing w:after="0"/>
        <w:ind w:right="93"/>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1) Author counts include only those </w:t>
      </w:r>
      <w:r w:rsidRPr="00AC72BF">
        <w:rPr>
          <w:rFonts w:ascii="Times New Roman" w:eastAsia="Times New Roman" w:hAnsi="Times New Roman"/>
          <w:b/>
          <w:bCs/>
          <w:color w:val="000000"/>
          <w:sz w:val="24"/>
          <w:szCs w:val="24"/>
          <w:lang w:val="en-GB"/>
        </w:rPr>
        <w:t>authors who specialize in the field</w:t>
      </w:r>
      <w:r w:rsidRPr="00AC72BF">
        <w:rPr>
          <w:rFonts w:ascii="Times New Roman" w:eastAsia="Times New Roman" w:hAnsi="Times New Roman"/>
          <w:b/>
          <w:color w:val="000000"/>
          <w:sz w:val="24"/>
          <w:szCs w:val="24"/>
          <w:lang w:val="en-GB"/>
        </w:rPr>
        <w:t xml:space="preserve"> (having more than 30% or the largest share of </w:t>
      </w:r>
      <w:r w:rsidR="005F1CBF">
        <w:rPr>
          <w:rFonts w:ascii="Times New Roman" w:eastAsia="Times New Roman" w:hAnsi="Times New Roman"/>
          <w:b/>
          <w:color w:val="000000"/>
          <w:sz w:val="24"/>
          <w:szCs w:val="24"/>
          <w:lang w:val="en-GB"/>
        </w:rPr>
        <w:t xml:space="preserve">their </w:t>
      </w:r>
      <w:r w:rsidRPr="00AC72BF">
        <w:rPr>
          <w:rFonts w:ascii="Times New Roman" w:eastAsia="Times New Roman" w:hAnsi="Times New Roman"/>
          <w:b/>
          <w:color w:val="000000"/>
          <w:sz w:val="24"/>
          <w:szCs w:val="24"/>
          <w:lang w:val="en-GB"/>
        </w:rPr>
        <w:t xml:space="preserve">own output - see the footnote </w:t>
      </w:r>
      <w:r w:rsidR="005F1CBF">
        <w:rPr>
          <w:rFonts w:ascii="Times New Roman" w:eastAsia="Times New Roman" w:hAnsi="Times New Roman"/>
          <w:b/>
          <w:color w:val="000000"/>
          <w:sz w:val="24"/>
          <w:szCs w:val="24"/>
          <w:lang w:val="en-GB"/>
        </w:rPr>
        <w:t>for</w:t>
      </w:r>
      <w:r w:rsidRPr="00AC72BF">
        <w:rPr>
          <w:rFonts w:ascii="Times New Roman" w:eastAsia="Times New Roman" w:hAnsi="Times New Roman"/>
          <w:b/>
          <w:color w:val="000000"/>
          <w:sz w:val="24"/>
          <w:szCs w:val="24"/>
          <w:lang w:val="en-GB"/>
        </w:rPr>
        <w:t xml:space="preserve"> each graph). This means that some universities having the large share of authors with a multidisciplinary focus (i.e. publishing in multiple fields), might benefit in terms of P/A in some fields </w:t>
      </w:r>
      <w:r w:rsidR="005F1CBF">
        <w:rPr>
          <w:rFonts w:ascii="Times New Roman" w:eastAsia="Times New Roman" w:hAnsi="Times New Roman"/>
          <w:b/>
          <w:color w:val="000000"/>
          <w:sz w:val="24"/>
          <w:szCs w:val="24"/>
          <w:lang w:val="en-GB"/>
        </w:rPr>
        <w:t xml:space="preserve">that </w:t>
      </w:r>
      <w:r w:rsidRPr="00AC72BF">
        <w:rPr>
          <w:rFonts w:ascii="Times New Roman" w:eastAsia="Times New Roman" w:hAnsi="Times New Roman"/>
          <w:b/>
          <w:color w:val="000000"/>
          <w:sz w:val="24"/>
          <w:szCs w:val="24"/>
          <w:lang w:val="en-GB"/>
        </w:rPr>
        <w:t>are not the fields of specialization of their authors, but which exhibit a non-negligible outp</w:t>
      </w:r>
      <w:r w:rsidR="000A646C" w:rsidRPr="00AC72BF">
        <w:rPr>
          <w:rFonts w:ascii="Times New Roman" w:eastAsia="Times New Roman" w:hAnsi="Times New Roman"/>
          <w:b/>
          <w:color w:val="000000"/>
          <w:sz w:val="24"/>
          <w:szCs w:val="24"/>
          <w:lang w:val="en-GB"/>
        </w:rPr>
        <w:t xml:space="preserve">ut. </w:t>
      </w:r>
    </w:p>
    <w:p w14:paraId="520A0D51" w14:textId="77777777" w:rsidR="00E12703" w:rsidRPr="00AC72BF" w:rsidRDefault="00E12703" w:rsidP="003672BA">
      <w:pPr>
        <w:spacing w:after="0"/>
        <w:ind w:right="93"/>
        <w:rPr>
          <w:rFonts w:ascii="Times New Roman" w:eastAsia="Times New Roman" w:hAnsi="Times New Roman"/>
          <w:b/>
          <w:color w:val="000000"/>
          <w:sz w:val="24"/>
          <w:szCs w:val="24"/>
          <w:lang w:val="en-GB"/>
        </w:rPr>
      </w:pPr>
    </w:p>
    <w:p w14:paraId="66ADC027" w14:textId="5D926F7C" w:rsidR="00E12703" w:rsidRDefault="00E12703" w:rsidP="003672BA">
      <w:pPr>
        <w:spacing w:after="0"/>
        <w:ind w:right="93"/>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2) Author counts do not include non-publishing authors. This, again, might improve the productivity measures disproportionally for those universities where the share of non-publishing authors among all scie</w:t>
      </w:r>
      <w:r w:rsidR="000A646C" w:rsidRPr="00AC72BF">
        <w:rPr>
          <w:rFonts w:ascii="Times New Roman" w:eastAsia="Times New Roman" w:hAnsi="Times New Roman"/>
          <w:b/>
          <w:color w:val="000000"/>
          <w:sz w:val="24"/>
          <w:szCs w:val="24"/>
          <w:lang w:val="en-GB"/>
        </w:rPr>
        <w:t>ntists is high. We c</w:t>
      </w:r>
      <w:r w:rsidR="00EB2CD4">
        <w:rPr>
          <w:rFonts w:ascii="Times New Roman" w:eastAsia="Times New Roman" w:hAnsi="Times New Roman"/>
          <w:b/>
          <w:color w:val="000000"/>
          <w:sz w:val="24"/>
          <w:szCs w:val="24"/>
          <w:lang w:val="en-GB"/>
        </w:rPr>
        <w:t>ould not</w:t>
      </w:r>
      <w:r w:rsidRPr="00AC72BF">
        <w:rPr>
          <w:rFonts w:ascii="Times New Roman" w:eastAsia="Times New Roman" w:hAnsi="Times New Roman"/>
          <w:b/>
          <w:color w:val="000000"/>
          <w:sz w:val="24"/>
          <w:szCs w:val="24"/>
          <w:lang w:val="en-GB"/>
        </w:rPr>
        <w:t xml:space="preserve"> account for this discrepancy explicitly from the </w:t>
      </w:r>
      <w:r w:rsidR="000A646C" w:rsidRPr="00AC72BF">
        <w:rPr>
          <w:rFonts w:ascii="Times New Roman" w:eastAsia="Times New Roman" w:hAnsi="Times New Roman"/>
          <w:b/>
          <w:color w:val="000000"/>
          <w:sz w:val="24"/>
          <w:szCs w:val="24"/>
          <w:lang w:val="en-GB"/>
        </w:rPr>
        <w:t>available data. However, it could be</w:t>
      </w:r>
      <w:r w:rsidRPr="00AC72BF">
        <w:rPr>
          <w:rFonts w:ascii="Times New Roman" w:eastAsia="Times New Roman" w:hAnsi="Times New Roman"/>
          <w:b/>
          <w:color w:val="000000"/>
          <w:sz w:val="24"/>
          <w:szCs w:val="24"/>
          <w:lang w:val="en-GB"/>
        </w:rPr>
        <w:t xml:space="preserve"> assume</w:t>
      </w:r>
      <w:r w:rsidR="000A646C" w:rsidRPr="00AC72BF">
        <w:rPr>
          <w:rFonts w:ascii="Times New Roman" w:eastAsia="Times New Roman" w:hAnsi="Times New Roman"/>
          <w:b/>
          <w:color w:val="000000"/>
          <w:sz w:val="24"/>
          <w:szCs w:val="24"/>
          <w:lang w:val="en-GB"/>
        </w:rPr>
        <w:t>d,</w:t>
      </w:r>
      <w:r w:rsidRPr="00AC72BF">
        <w:rPr>
          <w:rFonts w:ascii="Times New Roman" w:eastAsia="Times New Roman" w:hAnsi="Times New Roman"/>
          <w:b/>
          <w:color w:val="000000"/>
          <w:sz w:val="24"/>
          <w:szCs w:val="24"/>
          <w:lang w:val="en-GB"/>
        </w:rPr>
        <w:t xml:space="preserve"> that within the reasonably long period of time (5 years in case of CUNI evaluation), a negligibly small share of scientists at all universities </w:t>
      </w:r>
      <w:r w:rsidR="00EB2CD4">
        <w:rPr>
          <w:rFonts w:ascii="Times New Roman" w:eastAsia="Times New Roman" w:hAnsi="Times New Roman"/>
          <w:b/>
          <w:color w:val="000000"/>
          <w:sz w:val="24"/>
          <w:szCs w:val="24"/>
          <w:lang w:val="en-GB"/>
        </w:rPr>
        <w:t>did not publish</w:t>
      </w:r>
      <w:r w:rsidRPr="00AC72BF">
        <w:rPr>
          <w:rFonts w:ascii="Times New Roman" w:eastAsia="Times New Roman" w:hAnsi="Times New Roman"/>
          <w:b/>
          <w:color w:val="000000"/>
          <w:sz w:val="24"/>
          <w:szCs w:val="24"/>
          <w:lang w:val="en-GB"/>
        </w:rPr>
        <w:t>, and</w:t>
      </w:r>
      <w:r w:rsidR="00EB2CD4">
        <w:rPr>
          <w:rFonts w:ascii="Times New Roman" w:eastAsia="Times New Roman" w:hAnsi="Times New Roman"/>
          <w:b/>
          <w:color w:val="000000"/>
          <w:sz w:val="24"/>
          <w:szCs w:val="24"/>
          <w:lang w:val="en-GB"/>
        </w:rPr>
        <w:t xml:space="preserve"> thus this consideraton</w:t>
      </w:r>
      <w:r w:rsidRPr="00AC72BF">
        <w:rPr>
          <w:rFonts w:ascii="Times New Roman" w:eastAsia="Times New Roman" w:hAnsi="Times New Roman"/>
          <w:b/>
          <w:color w:val="000000"/>
          <w:sz w:val="24"/>
          <w:szCs w:val="24"/>
          <w:lang w:val="en-GB"/>
        </w:rPr>
        <w:t xml:space="preserve"> should n</w:t>
      </w:r>
      <w:r w:rsidR="000A646C" w:rsidRPr="00AC72BF">
        <w:rPr>
          <w:rFonts w:ascii="Times New Roman" w:eastAsia="Times New Roman" w:hAnsi="Times New Roman"/>
          <w:b/>
          <w:color w:val="000000"/>
          <w:sz w:val="24"/>
          <w:szCs w:val="24"/>
          <w:lang w:val="en-GB"/>
        </w:rPr>
        <w:t xml:space="preserve">ot affect </w:t>
      </w:r>
      <w:r w:rsidRPr="00AC72BF">
        <w:rPr>
          <w:rFonts w:ascii="Times New Roman" w:eastAsia="Times New Roman" w:hAnsi="Times New Roman"/>
          <w:b/>
          <w:color w:val="000000"/>
          <w:sz w:val="24"/>
          <w:szCs w:val="24"/>
          <w:lang w:val="en-GB"/>
        </w:rPr>
        <w:t>a P/A ratio of some universities while not affecting others.</w:t>
      </w:r>
    </w:p>
    <w:p w14:paraId="4734D707" w14:textId="77777777" w:rsidR="00FB22F7" w:rsidRDefault="00FB22F7" w:rsidP="003672BA">
      <w:pPr>
        <w:spacing w:after="0"/>
        <w:ind w:right="93"/>
        <w:rPr>
          <w:rFonts w:ascii="Times New Roman" w:eastAsia="Times New Roman" w:hAnsi="Times New Roman"/>
          <w:b/>
          <w:color w:val="000000"/>
          <w:sz w:val="24"/>
          <w:szCs w:val="24"/>
          <w:lang w:val="en-GB"/>
        </w:rPr>
      </w:pPr>
    </w:p>
    <w:p w14:paraId="310A8E9A" w14:textId="05FF1BD0" w:rsidR="00FB22F7" w:rsidRPr="00CB7B57" w:rsidRDefault="00FB22F7" w:rsidP="00FB22F7">
      <w:pPr>
        <w:rPr>
          <w:rFonts w:ascii="Times New Roman" w:eastAsia="Times New Roman" w:hAnsi="Times New Roman"/>
          <w:sz w:val="24"/>
          <w:szCs w:val="24"/>
          <w:lang w:val="en-GB"/>
        </w:rPr>
      </w:pPr>
      <w:r>
        <w:rPr>
          <w:rFonts w:ascii="Times New Roman" w:eastAsia="Times New Roman" w:hAnsi="Times New Roman"/>
          <w:b/>
          <w:color w:val="000000"/>
          <w:sz w:val="24"/>
          <w:szCs w:val="24"/>
          <w:lang w:val="en-GB"/>
        </w:rPr>
        <w:t xml:space="preserve">3) </w:t>
      </w:r>
      <w:r w:rsidRPr="00CB7B57">
        <w:rPr>
          <w:rFonts w:ascii="Times New Roman" w:eastAsia="Times New Roman" w:hAnsi="Times New Roman"/>
          <w:sz w:val="24"/>
          <w:szCs w:val="24"/>
          <w:lang w:val="en-GB"/>
        </w:rPr>
        <w:t>The P/A ratio does not reflect an individual productivity of researchers, which is typically higher than the number shown on the graph. It is important to note, existence of large internal (within inst</w:t>
      </w:r>
      <w:r w:rsidRPr="00DA2FF1">
        <w:rPr>
          <w:rFonts w:ascii="Times New Roman" w:eastAsia="Times New Roman" w:hAnsi="Times New Roman"/>
          <w:sz w:val="24"/>
          <w:szCs w:val="24"/>
          <w:lang w:val="en-GB"/>
        </w:rPr>
        <w:t>itution) teams will</w:t>
      </w:r>
      <w:r w:rsidRPr="00CB7B57">
        <w:rPr>
          <w:rFonts w:ascii="Times New Roman" w:eastAsia="Times New Roman" w:hAnsi="Times New Roman"/>
          <w:sz w:val="24"/>
          <w:szCs w:val="24"/>
          <w:lang w:val="en-GB"/>
        </w:rPr>
        <w:t xml:space="preserve"> lower the overall P/A ratio of the institution, while individual productivity of researchers can be at a relatively high level. Consider 5 researchers from the same institution producing 10 publications during a year. Individual productivity of each researcher will be calculated as 10/1 = 10, while the overall P/A ratio of the institution will be equal to 10/5 = 2.</w:t>
      </w:r>
    </w:p>
    <w:p w14:paraId="512A0008" w14:textId="5350209A" w:rsidR="00FB22F7" w:rsidRPr="00AC72BF" w:rsidRDefault="00FB22F7" w:rsidP="003672BA">
      <w:pPr>
        <w:spacing w:after="0"/>
        <w:ind w:right="93"/>
        <w:rPr>
          <w:rFonts w:ascii="Times New Roman" w:eastAsia="Times New Roman" w:hAnsi="Times New Roman"/>
          <w:b/>
          <w:color w:val="000000"/>
          <w:sz w:val="24"/>
          <w:szCs w:val="24"/>
          <w:lang w:val="en-GB"/>
        </w:rPr>
      </w:pPr>
    </w:p>
    <w:p w14:paraId="25F69CB4" w14:textId="77777777" w:rsidR="000A646C" w:rsidRPr="00AC72BF" w:rsidRDefault="000A646C" w:rsidP="003672BA">
      <w:pPr>
        <w:spacing w:after="0" w:line="360" w:lineRule="auto"/>
        <w:ind w:left="1494" w:right="93"/>
        <w:jc w:val="both"/>
        <w:rPr>
          <w:rFonts w:ascii="Times New Roman" w:hAnsi="Times New Roman"/>
          <w:b/>
          <w:bCs/>
          <w:sz w:val="24"/>
          <w:szCs w:val="24"/>
          <w:lang w:val="en-GB"/>
        </w:rPr>
      </w:pPr>
    </w:p>
    <w:p w14:paraId="5545D8C1" w14:textId="5176EF42" w:rsidR="0019165E" w:rsidRPr="00AC72BF" w:rsidRDefault="00EB2CD4"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lastRenderedPageBreak/>
        <w:t>Recognizing</w:t>
      </w:r>
      <w:r w:rsidRPr="00AC72BF">
        <w:rPr>
          <w:rFonts w:ascii="Times New Roman" w:hAnsi="Times New Roman"/>
          <w:b/>
          <w:bCs/>
          <w:sz w:val="24"/>
          <w:szCs w:val="24"/>
          <w:lang w:val="en-GB"/>
        </w:rPr>
        <w:t xml:space="preserve"> </w:t>
      </w:r>
      <w:r w:rsidR="0019165E" w:rsidRPr="00AC72BF">
        <w:rPr>
          <w:rFonts w:ascii="Times New Roman" w:hAnsi="Times New Roman"/>
          <w:b/>
          <w:bCs/>
          <w:sz w:val="24"/>
          <w:szCs w:val="24"/>
          <w:lang w:val="en-GB"/>
        </w:rPr>
        <w:t>the</w:t>
      </w:r>
      <w:r>
        <w:rPr>
          <w:rFonts w:ascii="Times New Roman" w:hAnsi="Times New Roman"/>
          <w:b/>
          <w:bCs/>
          <w:sz w:val="24"/>
          <w:szCs w:val="24"/>
          <w:lang w:val="en-GB"/>
        </w:rPr>
        <w:t>se</w:t>
      </w:r>
      <w:r w:rsidR="0019165E" w:rsidRPr="00AC72BF">
        <w:rPr>
          <w:rFonts w:ascii="Times New Roman" w:hAnsi="Times New Roman"/>
          <w:b/>
          <w:bCs/>
          <w:sz w:val="24"/>
          <w:szCs w:val="24"/>
          <w:lang w:val="en-GB"/>
        </w:rPr>
        <w:t xml:space="preserve"> caveats</w:t>
      </w:r>
      <w:r>
        <w:rPr>
          <w:rFonts w:ascii="Times New Roman" w:hAnsi="Times New Roman"/>
          <w:b/>
          <w:bCs/>
          <w:sz w:val="24"/>
          <w:szCs w:val="24"/>
          <w:lang w:val="en-GB"/>
        </w:rPr>
        <w:t>,</w:t>
      </w:r>
      <w:r w:rsidR="0019165E" w:rsidRPr="00AC72BF">
        <w:rPr>
          <w:rFonts w:ascii="Times New Roman" w:hAnsi="Times New Roman"/>
          <w:b/>
          <w:bCs/>
          <w:sz w:val="24"/>
          <w:szCs w:val="24"/>
          <w:lang w:val="en-GB"/>
        </w:rPr>
        <w:t xml:space="preserve"> the Index P/A could be taken as an overall indicator for </w:t>
      </w:r>
      <w:r>
        <w:rPr>
          <w:rFonts w:ascii="Times New Roman" w:hAnsi="Times New Roman"/>
          <w:b/>
          <w:bCs/>
          <w:sz w:val="24"/>
          <w:szCs w:val="24"/>
          <w:lang w:val="en-GB"/>
        </w:rPr>
        <w:t>q</w:t>
      </w:r>
      <w:r w:rsidR="0019165E" w:rsidRPr="00AC72BF">
        <w:rPr>
          <w:rFonts w:ascii="Times New Roman" w:hAnsi="Times New Roman"/>
          <w:b/>
          <w:bCs/>
          <w:sz w:val="24"/>
          <w:szCs w:val="24"/>
          <w:lang w:val="en-GB"/>
        </w:rPr>
        <w:t xml:space="preserve">uantity versus </w:t>
      </w:r>
      <w:r>
        <w:rPr>
          <w:rFonts w:ascii="Times New Roman" w:hAnsi="Times New Roman"/>
          <w:b/>
          <w:bCs/>
          <w:sz w:val="24"/>
          <w:szCs w:val="24"/>
          <w:lang w:val="en-GB"/>
        </w:rPr>
        <w:t>q</w:t>
      </w:r>
      <w:r w:rsidR="0019165E" w:rsidRPr="00AC72BF">
        <w:rPr>
          <w:rFonts w:ascii="Times New Roman" w:hAnsi="Times New Roman"/>
          <w:b/>
          <w:bCs/>
          <w:sz w:val="24"/>
          <w:szCs w:val="24"/>
          <w:lang w:val="en-GB"/>
        </w:rPr>
        <w:t xml:space="preserve">uality of published papers.  The average number of citations is </w:t>
      </w:r>
      <w:r w:rsidR="0019165E">
        <w:rPr>
          <w:rFonts w:ascii="Times New Roman" w:hAnsi="Times New Roman"/>
          <w:b/>
          <w:bCs/>
          <w:sz w:val="24"/>
          <w:szCs w:val="24"/>
          <w:lang w:val="en-GB"/>
        </w:rPr>
        <w:t xml:space="preserve">roughly </w:t>
      </w:r>
      <w:r w:rsidR="0019165E" w:rsidRPr="00AC72BF">
        <w:rPr>
          <w:rFonts w:ascii="Times New Roman" w:hAnsi="Times New Roman"/>
          <w:b/>
          <w:bCs/>
          <w:sz w:val="24"/>
          <w:szCs w:val="24"/>
          <w:lang w:val="en-GB"/>
        </w:rPr>
        <w:t xml:space="preserve">comparable with benchmark </w:t>
      </w:r>
      <w:r>
        <w:rPr>
          <w:rFonts w:ascii="Times New Roman" w:hAnsi="Times New Roman"/>
          <w:b/>
          <w:bCs/>
          <w:sz w:val="24"/>
          <w:szCs w:val="24"/>
          <w:lang w:val="en-GB"/>
        </w:rPr>
        <w:t>u</w:t>
      </w:r>
      <w:r w:rsidR="0019165E" w:rsidRPr="00AC72BF">
        <w:rPr>
          <w:rFonts w:ascii="Times New Roman" w:hAnsi="Times New Roman"/>
          <w:b/>
          <w:bCs/>
          <w:sz w:val="24"/>
          <w:szCs w:val="24"/>
          <w:lang w:val="en-GB"/>
        </w:rPr>
        <w:t>niversities</w:t>
      </w:r>
      <w:r w:rsidR="0019165E">
        <w:rPr>
          <w:rFonts w:ascii="Times New Roman" w:hAnsi="Times New Roman"/>
          <w:b/>
          <w:bCs/>
          <w:sz w:val="24"/>
          <w:szCs w:val="24"/>
          <w:lang w:val="en-GB"/>
        </w:rPr>
        <w:t xml:space="preserve"> (for CUNI</w:t>
      </w:r>
      <w:r>
        <w:rPr>
          <w:rFonts w:ascii="Times New Roman" w:hAnsi="Times New Roman"/>
          <w:b/>
          <w:bCs/>
          <w:sz w:val="24"/>
          <w:szCs w:val="24"/>
          <w:lang w:val="en-GB"/>
        </w:rPr>
        <w:t>, the</w:t>
      </w:r>
      <w:r w:rsidR="0019165E">
        <w:rPr>
          <w:rFonts w:ascii="Times New Roman" w:hAnsi="Times New Roman"/>
          <w:b/>
          <w:bCs/>
          <w:sz w:val="24"/>
          <w:szCs w:val="24"/>
          <w:lang w:val="en-GB"/>
        </w:rPr>
        <w:t xml:space="preserve"> number of times cited relative to the average is 1.11 for </w:t>
      </w:r>
      <w:r>
        <w:rPr>
          <w:rFonts w:ascii="Times New Roman" w:hAnsi="Times New Roman"/>
          <w:b/>
          <w:bCs/>
          <w:sz w:val="24"/>
          <w:szCs w:val="24"/>
          <w:lang w:val="en-GB"/>
        </w:rPr>
        <w:t>the top 50</w:t>
      </w:r>
      <w:r w:rsidRPr="00E31BF7">
        <w:rPr>
          <w:rFonts w:ascii="Times New Roman" w:hAnsi="Times New Roman"/>
          <w:b/>
          <w:bCs/>
          <w:sz w:val="24"/>
          <w:szCs w:val="24"/>
          <w:vertAlign w:val="superscript"/>
          <w:lang w:val="en-GB"/>
        </w:rPr>
        <w:t>th</w:t>
      </w:r>
      <w:r>
        <w:rPr>
          <w:rFonts w:ascii="Times New Roman" w:hAnsi="Times New Roman"/>
          <w:b/>
          <w:bCs/>
          <w:sz w:val="24"/>
          <w:szCs w:val="24"/>
          <w:lang w:val="en-GB"/>
        </w:rPr>
        <w:t xml:space="preserve"> percentile</w:t>
      </w:r>
      <w:r w:rsidR="0019165E">
        <w:rPr>
          <w:rFonts w:ascii="Times New Roman" w:hAnsi="Times New Roman"/>
          <w:b/>
          <w:bCs/>
          <w:sz w:val="24"/>
          <w:szCs w:val="24"/>
          <w:lang w:val="en-GB"/>
        </w:rPr>
        <w:t xml:space="preserve"> and 0.78  for </w:t>
      </w:r>
      <w:r>
        <w:rPr>
          <w:rFonts w:ascii="Times New Roman" w:hAnsi="Times New Roman"/>
          <w:b/>
          <w:bCs/>
          <w:sz w:val="24"/>
          <w:szCs w:val="24"/>
          <w:lang w:val="en-GB"/>
        </w:rPr>
        <w:t xml:space="preserve">papers from the </w:t>
      </w:r>
      <w:r w:rsidR="0019165E">
        <w:rPr>
          <w:rFonts w:ascii="Times New Roman" w:hAnsi="Times New Roman"/>
          <w:b/>
          <w:bCs/>
          <w:sz w:val="24"/>
          <w:szCs w:val="24"/>
          <w:lang w:val="en-GB"/>
        </w:rPr>
        <w:t xml:space="preserve">bottom </w:t>
      </w:r>
      <w:r>
        <w:rPr>
          <w:rFonts w:ascii="Times New Roman" w:hAnsi="Times New Roman"/>
          <w:b/>
          <w:bCs/>
          <w:sz w:val="24"/>
          <w:szCs w:val="24"/>
          <w:lang w:val="en-GB"/>
        </w:rPr>
        <w:t>50</w:t>
      </w:r>
      <w:r w:rsidRPr="00E31BF7">
        <w:rPr>
          <w:rFonts w:ascii="Times New Roman" w:hAnsi="Times New Roman"/>
          <w:b/>
          <w:bCs/>
          <w:sz w:val="24"/>
          <w:szCs w:val="24"/>
          <w:vertAlign w:val="superscript"/>
          <w:lang w:val="en-GB"/>
        </w:rPr>
        <w:t>th</w:t>
      </w:r>
      <w:r>
        <w:rPr>
          <w:rFonts w:ascii="Times New Roman" w:hAnsi="Times New Roman"/>
          <w:b/>
          <w:bCs/>
          <w:sz w:val="24"/>
          <w:szCs w:val="24"/>
          <w:lang w:val="en-GB"/>
        </w:rPr>
        <w:t xml:space="preserve"> percentile</w:t>
      </w:r>
      <w:r w:rsidR="0019165E">
        <w:rPr>
          <w:rFonts w:ascii="Times New Roman" w:hAnsi="Times New Roman"/>
          <w:b/>
          <w:bCs/>
          <w:sz w:val="24"/>
          <w:szCs w:val="24"/>
          <w:lang w:val="en-GB"/>
        </w:rPr>
        <w:t>)</w:t>
      </w:r>
      <w:r>
        <w:rPr>
          <w:rFonts w:ascii="Times New Roman" w:hAnsi="Times New Roman"/>
          <w:b/>
          <w:bCs/>
          <w:sz w:val="24"/>
          <w:szCs w:val="24"/>
          <w:lang w:val="en-GB"/>
        </w:rPr>
        <w:t>. Ho</w:t>
      </w:r>
      <w:r w:rsidR="0019165E" w:rsidRPr="00AC72BF">
        <w:rPr>
          <w:rFonts w:ascii="Times New Roman" w:hAnsi="Times New Roman"/>
          <w:b/>
          <w:bCs/>
          <w:sz w:val="24"/>
          <w:szCs w:val="24"/>
          <w:lang w:val="en-GB"/>
        </w:rPr>
        <w:t>wever</w:t>
      </w:r>
      <w:r>
        <w:rPr>
          <w:rFonts w:ascii="Times New Roman" w:hAnsi="Times New Roman"/>
          <w:b/>
          <w:bCs/>
          <w:sz w:val="24"/>
          <w:szCs w:val="24"/>
          <w:lang w:val="en-GB"/>
        </w:rPr>
        <w:t>,</w:t>
      </w:r>
      <w:r w:rsidR="0019165E" w:rsidRPr="00AC72BF">
        <w:rPr>
          <w:rFonts w:ascii="Times New Roman" w:hAnsi="Times New Roman"/>
          <w:b/>
          <w:bCs/>
          <w:sz w:val="24"/>
          <w:szCs w:val="24"/>
          <w:lang w:val="en-GB"/>
        </w:rPr>
        <w:t xml:space="preserve"> the time period is to</w:t>
      </w:r>
      <w:r>
        <w:rPr>
          <w:rFonts w:ascii="Times New Roman" w:hAnsi="Times New Roman"/>
          <w:b/>
          <w:bCs/>
          <w:sz w:val="24"/>
          <w:szCs w:val="24"/>
          <w:lang w:val="en-GB"/>
        </w:rPr>
        <w:t>o</w:t>
      </w:r>
      <w:r w:rsidR="0019165E" w:rsidRPr="00AC72BF">
        <w:rPr>
          <w:rFonts w:ascii="Times New Roman" w:hAnsi="Times New Roman"/>
          <w:b/>
          <w:bCs/>
          <w:sz w:val="24"/>
          <w:szCs w:val="24"/>
          <w:lang w:val="en-GB"/>
        </w:rPr>
        <w:t xml:space="preserve"> short  to assume the long term impact</w:t>
      </w:r>
      <w:r w:rsidR="0019165E">
        <w:rPr>
          <w:rFonts w:ascii="Times New Roman" w:hAnsi="Times New Roman"/>
          <w:b/>
          <w:bCs/>
          <w:sz w:val="24"/>
          <w:szCs w:val="24"/>
          <w:lang w:val="en-GB"/>
        </w:rPr>
        <w:t xml:space="preserve"> of</w:t>
      </w:r>
      <w:r w:rsidR="0019165E" w:rsidRPr="00AC72BF">
        <w:rPr>
          <w:rFonts w:ascii="Times New Roman" w:hAnsi="Times New Roman"/>
          <w:b/>
          <w:bCs/>
          <w:sz w:val="24"/>
          <w:szCs w:val="24"/>
          <w:lang w:val="en-GB"/>
        </w:rPr>
        <w:t xml:space="preserve"> </w:t>
      </w:r>
      <w:r>
        <w:rPr>
          <w:rFonts w:ascii="Times New Roman" w:hAnsi="Times New Roman"/>
          <w:b/>
          <w:bCs/>
          <w:sz w:val="24"/>
          <w:szCs w:val="24"/>
          <w:lang w:val="en-GB"/>
        </w:rPr>
        <w:t>many</w:t>
      </w:r>
      <w:r w:rsidR="0019165E" w:rsidRPr="00AC72BF">
        <w:rPr>
          <w:rFonts w:ascii="Times New Roman" w:hAnsi="Times New Roman"/>
          <w:b/>
          <w:bCs/>
          <w:sz w:val="24"/>
          <w:szCs w:val="24"/>
          <w:lang w:val="en-GB"/>
        </w:rPr>
        <w:t xml:space="preserve"> published papers. </w:t>
      </w:r>
      <w:r>
        <w:rPr>
          <w:rFonts w:ascii="Times New Roman" w:hAnsi="Times New Roman"/>
          <w:b/>
          <w:bCs/>
          <w:sz w:val="24"/>
          <w:szCs w:val="24"/>
          <w:lang w:val="en-GB"/>
        </w:rPr>
        <w:t xml:space="preserve">There were </w:t>
      </w:r>
      <w:r w:rsidR="0019165E" w:rsidRPr="00AC72BF">
        <w:rPr>
          <w:rFonts w:ascii="Times New Roman" w:hAnsi="Times New Roman"/>
          <w:b/>
          <w:bCs/>
          <w:sz w:val="24"/>
          <w:szCs w:val="24"/>
          <w:lang w:val="en-GB"/>
        </w:rPr>
        <w:t xml:space="preserve">724 </w:t>
      </w:r>
      <w:r>
        <w:rPr>
          <w:rFonts w:ascii="Times New Roman" w:hAnsi="Times New Roman"/>
          <w:b/>
          <w:bCs/>
          <w:sz w:val="24"/>
          <w:szCs w:val="24"/>
          <w:lang w:val="en-GB"/>
        </w:rPr>
        <w:t xml:space="preserve">of 6029 (0.12) </w:t>
      </w:r>
      <w:r w:rsidR="0019165E" w:rsidRPr="00AC72BF">
        <w:rPr>
          <w:rFonts w:ascii="Times New Roman" w:hAnsi="Times New Roman"/>
          <w:b/>
          <w:bCs/>
          <w:sz w:val="24"/>
          <w:szCs w:val="24"/>
          <w:lang w:val="en-GB"/>
        </w:rPr>
        <w:t xml:space="preserve">papers </w:t>
      </w:r>
      <w:r>
        <w:rPr>
          <w:rFonts w:ascii="Times New Roman" w:hAnsi="Times New Roman"/>
          <w:b/>
          <w:bCs/>
          <w:sz w:val="24"/>
          <w:szCs w:val="24"/>
          <w:lang w:val="en-GB"/>
        </w:rPr>
        <w:t>p</w:t>
      </w:r>
      <w:r w:rsidR="0019165E" w:rsidRPr="00AC72BF">
        <w:rPr>
          <w:rFonts w:ascii="Times New Roman" w:hAnsi="Times New Roman"/>
          <w:b/>
          <w:bCs/>
          <w:sz w:val="24"/>
          <w:szCs w:val="24"/>
          <w:lang w:val="en-GB"/>
        </w:rPr>
        <w:t>ublished in</w:t>
      </w:r>
      <w:r>
        <w:rPr>
          <w:rFonts w:ascii="Times New Roman" w:hAnsi="Times New Roman"/>
          <w:b/>
          <w:bCs/>
          <w:sz w:val="24"/>
          <w:szCs w:val="24"/>
          <w:lang w:val="en-GB"/>
        </w:rPr>
        <w:t xml:space="preserve"> the top 10</w:t>
      </w:r>
      <w:r w:rsidRPr="00E31BF7">
        <w:rPr>
          <w:rFonts w:ascii="Times New Roman" w:hAnsi="Times New Roman"/>
          <w:b/>
          <w:bCs/>
          <w:sz w:val="24"/>
          <w:szCs w:val="24"/>
          <w:vertAlign w:val="superscript"/>
          <w:lang w:val="en-GB"/>
        </w:rPr>
        <w:t>th</w:t>
      </w:r>
      <w:r>
        <w:rPr>
          <w:rFonts w:ascii="Times New Roman" w:hAnsi="Times New Roman"/>
          <w:b/>
          <w:bCs/>
          <w:sz w:val="24"/>
          <w:szCs w:val="24"/>
          <w:lang w:val="en-GB"/>
        </w:rPr>
        <w:t xml:space="preserve"> percentile</w:t>
      </w:r>
      <w:r w:rsidR="0019165E" w:rsidRPr="00AC72BF">
        <w:rPr>
          <w:rFonts w:ascii="Times New Roman" w:hAnsi="Times New Roman"/>
          <w:b/>
          <w:bCs/>
          <w:sz w:val="24"/>
          <w:szCs w:val="24"/>
          <w:lang w:val="en-GB"/>
        </w:rPr>
        <w:t xml:space="preserve"> of AIS </w:t>
      </w:r>
      <w:r>
        <w:rPr>
          <w:rFonts w:ascii="Times New Roman" w:hAnsi="Times New Roman"/>
          <w:b/>
          <w:bCs/>
          <w:sz w:val="24"/>
          <w:szCs w:val="24"/>
          <w:lang w:val="en-GB"/>
        </w:rPr>
        <w:t>j</w:t>
      </w:r>
      <w:r w:rsidR="0019165E" w:rsidRPr="00AC72BF">
        <w:rPr>
          <w:rFonts w:ascii="Times New Roman" w:hAnsi="Times New Roman"/>
          <w:b/>
          <w:bCs/>
          <w:sz w:val="24"/>
          <w:szCs w:val="24"/>
          <w:lang w:val="en-GB"/>
        </w:rPr>
        <w:t>ounals</w:t>
      </w:r>
      <w:r>
        <w:rPr>
          <w:rFonts w:ascii="Times New Roman" w:hAnsi="Times New Roman"/>
          <w:b/>
          <w:bCs/>
          <w:sz w:val="24"/>
          <w:szCs w:val="24"/>
          <w:lang w:val="en-GB"/>
        </w:rPr>
        <w:t xml:space="preserve"> compared to</w:t>
      </w:r>
      <w:r w:rsidR="0019165E">
        <w:rPr>
          <w:rFonts w:ascii="Times New Roman" w:hAnsi="Times New Roman"/>
          <w:b/>
          <w:bCs/>
          <w:sz w:val="24"/>
          <w:szCs w:val="24"/>
          <w:lang w:val="en-GB"/>
        </w:rPr>
        <w:t xml:space="preserve"> Heidelberg 0.21, Warsaw 0.09, Copenhagen 0.20, Milano 0.16, Vienna 0.12, Leuven 0,24</w:t>
      </w:r>
      <w:r>
        <w:rPr>
          <w:rFonts w:ascii="Times New Roman" w:hAnsi="Times New Roman"/>
          <w:b/>
          <w:bCs/>
          <w:sz w:val="24"/>
          <w:szCs w:val="24"/>
          <w:lang w:val="en-GB"/>
        </w:rPr>
        <w:t xml:space="preserve">. Thus, the CUNI proportion of 0.12 was below the average of </w:t>
      </w:r>
      <w:r w:rsidR="0019165E">
        <w:rPr>
          <w:rFonts w:ascii="Times New Roman" w:hAnsi="Times New Roman"/>
          <w:b/>
          <w:bCs/>
          <w:sz w:val="24"/>
          <w:szCs w:val="24"/>
          <w:lang w:val="en-GB"/>
        </w:rPr>
        <w:t xml:space="preserve"> 0.17 is lower from benchmark universities)</w:t>
      </w:r>
      <w:r w:rsidR="001D026A">
        <w:rPr>
          <w:rFonts w:ascii="Times New Roman" w:hAnsi="Times New Roman"/>
          <w:b/>
          <w:bCs/>
          <w:sz w:val="24"/>
          <w:szCs w:val="24"/>
          <w:lang w:val="en-GB"/>
        </w:rPr>
        <w:t xml:space="preserve">.  There was publication of </w:t>
      </w:r>
      <w:r w:rsidR="0019165E" w:rsidRPr="00AC72BF">
        <w:rPr>
          <w:rFonts w:ascii="Times New Roman" w:hAnsi="Times New Roman"/>
          <w:b/>
          <w:bCs/>
          <w:sz w:val="24"/>
          <w:szCs w:val="24"/>
          <w:lang w:val="en-GB"/>
        </w:rPr>
        <w:t xml:space="preserve"> 42 papers</w:t>
      </w:r>
      <w:r w:rsidR="0019165E" w:rsidRPr="0019165E">
        <w:rPr>
          <w:rFonts w:ascii="Times New Roman" w:hAnsi="Times New Roman"/>
          <w:b/>
          <w:bCs/>
          <w:color w:val="FF0000"/>
          <w:sz w:val="24"/>
          <w:szCs w:val="24"/>
          <w:lang w:val="en-GB"/>
        </w:rPr>
        <w:t xml:space="preserve"> </w:t>
      </w:r>
      <w:r w:rsidR="0019165E" w:rsidRPr="00AC72BF">
        <w:rPr>
          <w:rFonts w:ascii="Times New Roman" w:hAnsi="Times New Roman"/>
          <w:b/>
          <w:bCs/>
          <w:sz w:val="24"/>
          <w:szCs w:val="24"/>
          <w:lang w:val="en-GB"/>
        </w:rPr>
        <w:t xml:space="preserve">in </w:t>
      </w:r>
      <w:r w:rsidR="001D026A">
        <w:rPr>
          <w:rFonts w:ascii="Times New Roman" w:hAnsi="Times New Roman"/>
          <w:b/>
          <w:bCs/>
          <w:sz w:val="24"/>
          <w:szCs w:val="24"/>
          <w:lang w:val="en-GB"/>
        </w:rPr>
        <w:t>the New England Journal of Medicine</w:t>
      </w:r>
      <w:r w:rsidR="0019165E" w:rsidRPr="00AC72BF">
        <w:rPr>
          <w:rFonts w:ascii="Times New Roman" w:hAnsi="Times New Roman"/>
          <w:b/>
          <w:bCs/>
          <w:sz w:val="24"/>
          <w:szCs w:val="24"/>
          <w:lang w:val="en-GB"/>
        </w:rPr>
        <w:t xml:space="preserve"> and Lancet</w:t>
      </w:r>
      <w:r w:rsidR="001D026A">
        <w:rPr>
          <w:rFonts w:ascii="Times New Roman" w:hAnsi="Times New Roman"/>
          <w:b/>
          <w:bCs/>
          <w:sz w:val="24"/>
          <w:szCs w:val="24"/>
          <w:lang w:val="en-GB"/>
        </w:rPr>
        <w:t xml:space="preserve">, which was </w:t>
      </w:r>
      <w:r w:rsidR="0019165E" w:rsidRPr="00AC72BF">
        <w:rPr>
          <w:rFonts w:ascii="Times New Roman" w:hAnsi="Times New Roman"/>
          <w:b/>
          <w:bCs/>
          <w:sz w:val="24"/>
          <w:szCs w:val="24"/>
          <w:lang w:val="en-GB"/>
        </w:rPr>
        <w:t xml:space="preserve"> statisticaly only half of the papers published by benchmark </w:t>
      </w:r>
      <w:r w:rsidR="001D026A">
        <w:rPr>
          <w:rFonts w:ascii="Times New Roman" w:hAnsi="Times New Roman"/>
          <w:b/>
          <w:bCs/>
          <w:sz w:val="24"/>
          <w:szCs w:val="24"/>
          <w:lang w:val="en-GB"/>
        </w:rPr>
        <w:t>u</w:t>
      </w:r>
      <w:r w:rsidR="0019165E" w:rsidRPr="00AC72BF">
        <w:rPr>
          <w:rFonts w:ascii="Times New Roman" w:hAnsi="Times New Roman"/>
          <w:b/>
          <w:bCs/>
          <w:sz w:val="24"/>
          <w:szCs w:val="24"/>
          <w:lang w:val="en-GB"/>
        </w:rPr>
        <w:t>niversities</w:t>
      </w:r>
      <w:r w:rsidR="001D026A">
        <w:rPr>
          <w:rFonts w:ascii="Times New Roman" w:hAnsi="Times New Roman"/>
          <w:b/>
          <w:bCs/>
          <w:sz w:val="24"/>
          <w:szCs w:val="24"/>
          <w:lang w:val="en-GB"/>
        </w:rPr>
        <w:t>.  However, this publication rate does indicate</w:t>
      </w:r>
      <w:r w:rsidR="0019165E" w:rsidRPr="00AC72BF">
        <w:rPr>
          <w:rFonts w:ascii="Times New Roman" w:hAnsi="Times New Roman"/>
          <w:b/>
          <w:bCs/>
          <w:sz w:val="24"/>
          <w:szCs w:val="24"/>
          <w:lang w:val="en-GB"/>
        </w:rPr>
        <w:t xml:space="preserve"> participation in </w:t>
      </w:r>
      <w:r w:rsidR="001D026A">
        <w:rPr>
          <w:rFonts w:ascii="Times New Roman" w:hAnsi="Times New Roman"/>
          <w:b/>
          <w:bCs/>
          <w:sz w:val="24"/>
          <w:szCs w:val="24"/>
          <w:lang w:val="en-GB"/>
        </w:rPr>
        <w:t>important clinical research at the highest level.</w:t>
      </w:r>
    </w:p>
    <w:p w14:paraId="73994837" w14:textId="669107C5" w:rsidR="0019165E" w:rsidRDefault="0019165E" w:rsidP="0019165E">
      <w:pPr>
        <w:spacing w:after="0" w:line="360" w:lineRule="auto"/>
        <w:jc w:val="both"/>
        <w:rPr>
          <w:rFonts w:ascii="Times New Roman" w:hAnsi="Times New Roman"/>
          <w:b/>
          <w:bCs/>
          <w:sz w:val="24"/>
          <w:szCs w:val="24"/>
          <w:lang w:val="en-GB"/>
        </w:rPr>
      </w:pPr>
      <w:r>
        <w:rPr>
          <w:rFonts w:ascii="Times New Roman" w:hAnsi="Times New Roman"/>
          <w:b/>
          <w:bCs/>
          <w:sz w:val="24"/>
          <w:szCs w:val="24"/>
          <w:lang w:val="en-GB"/>
        </w:rPr>
        <w:t>CUNI authors have publication</w:t>
      </w:r>
      <w:r w:rsidR="001D026A">
        <w:rPr>
          <w:rFonts w:ascii="Times New Roman" w:hAnsi="Times New Roman"/>
          <w:b/>
          <w:bCs/>
          <w:sz w:val="24"/>
          <w:szCs w:val="24"/>
          <w:lang w:val="en-GB"/>
        </w:rPr>
        <w:t>s</w:t>
      </w:r>
      <w:r>
        <w:rPr>
          <w:rFonts w:ascii="Times New Roman" w:hAnsi="Times New Roman"/>
          <w:b/>
          <w:bCs/>
          <w:sz w:val="24"/>
          <w:szCs w:val="24"/>
          <w:lang w:val="en-GB"/>
        </w:rPr>
        <w:t xml:space="preserve"> in </w:t>
      </w:r>
      <w:r w:rsidR="001D026A">
        <w:rPr>
          <w:rFonts w:ascii="Times New Roman" w:hAnsi="Times New Roman"/>
          <w:b/>
          <w:bCs/>
          <w:sz w:val="24"/>
          <w:szCs w:val="24"/>
          <w:lang w:val="en-GB"/>
        </w:rPr>
        <w:t>the top ten percentile of pharmacy journals</w:t>
      </w:r>
      <w:r>
        <w:rPr>
          <w:rFonts w:ascii="Times New Roman" w:hAnsi="Times New Roman"/>
          <w:b/>
          <w:bCs/>
          <w:sz w:val="24"/>
          <w:szCs w:val="24"/>
          <w:lang w:val="en-GB"/>
        </w:rPr>
        <w:t xml:space="preserve"> (J. Med. Chem 27 papers, J. Control Release 5 papers, Med. Res Reviews 2 papers), Pharmacology (Brit. J. Pharmacol. 4 papers) and Toxicology (Arch. Toxocol. 10 papers)</w:t>
      </w:r>
      <w:r w:rsidR="001D026A">
        <w:rPr>
          <w:rFonts w:ascii="Times New Roman" w:hAnsi="Times New Roman"/>
          <w:b/>
          <w:bCs/>
          <w:sz w:val="24"/>
          <w:szCs w:val="24"/>
          <w:lang w:val="en-GB"/>
        </w:rPr>
        <w:t>.</w:t>
      </w:r>
    </w:p>
    <w:p w14:paraId="0A1DD878" w14:textId="77777777" w:rsidR="00EF4144" w:rsidRDefault="00EF4144" w:rsidP="0019165E">
      <w:pPr>
        <w:spacing w:after="0" w:line="360" w:lineRule="auto"/>
        <w:jc w:val="both"/>
        <w:rPr>
          <w:rFonts w:ascii="Times New Roman" w:hAnsi="Times New Roman"/>
          <w:b/>
          <w:bCs/>
          <w:sz w:val="24"/>
          <w:szCs w:val="24"/>
          <w:lang w:val="en-GB"/>
        </w:rPr>
      </w:pPr>
    </w:p>
    <w:p w14:paraId="2604823F" w14:textId="77777777" w:rsidR="00950E5D" w:rsidRPr="00AC72BF" w:rsidRDefault="00950E5D" w:rsidP="003672BA">
      <w:pPr>
        <w:spacing w:after="0" w:line="360" w:lineRule="auto"/>
        <w:ind w:left="1080" w:right="93" w:hanging="1080"/>
        <w:jc w:val="both"/>
        <w:rPr>
          <w:rFonts w:ascii="Times New Roman" w:hAnsi="Times New Roman"/>
          <w:b/>
          <w:bCs/>
          <w:sz w:val="24"/>
          <w:szCs w:val="24"/>
          <w:lang w:val="en-GB"/>
        </w:rPr>
      </w:pPr>
    </w:p>
    <w:p w14:paraId="14680CEA" w14:textId="64E40707" w:rsidR="008C2AA7" w:rsidRDefault="00E402B5" w:rsidP="003672BA">
      <w:pPr>
        <w:numPr>
          <w:ilvl w:val="0"/>
          <w:numId w:val="1"/>
        </w:numPr>
        <w:spacing w:after="0" w:line="360" w:lineRule="auto"/>
        <w:ind w:left="357" w:right="93" w:hanging="357"/>
        <w:jc w:val="both"/>
        <w:rPr>
          <w:rFonts w:ascii="Times New Roman" w:hAnsi="Times New Roman"/>
          <w:b/>
          <w:bCs/>
          <w:sz w:val="32"/>
          <w:szCs w:val="32"/>
          <w:lang w:val="en-GB"/>
        </w:rPr>
      </w:pPr>
      <w:r w:rsidRPr="002D5FC7">
        <w:rPr>
          <w:rFonts w:ascii="Times New Roman" w:hAnsi="Times New Roman"/>
          <w:b/>
          <w:bCs/>
          <w:sz w:val="32"/>
          <w:szCs w:val="32"/>
          <w:lang w:val="en-GB"/>
        </w:rPr>
        <w:t>Quality of the selected publications based on peer review</w:t>
      </w:r>
    </w:p>
    <w:p w14:paraId="19F6C9DB" w14:textId="77777777" w:rsidR="002D5FC7" w:rsidRPr="002D5FC7" w:rsidRDefault="002D5FC7" w:rsidP="002D5FC7">
      <w:pPr>
        <w:spacing w:after="0" w:line="360" w:lineRule="auto"/>
        <w:ind w:left="357" w:right="93"/>
        <w:jc w:val="both"/>
        <w:rPr>
          <w:rFonts w:ascii="Times New Roman" w:hAnsi="Times New Roman"/>
          <w:b/>
          <w:bCs/>
          <w:sz w:val="32"/>
          <w:szCs w:val="32"/>
          <w:lang w:val="en-GB"/>
        </w:rPr>
      </w:pPr>
    </w:p>
    <w:p w14:paraId="6090AB55" w14:textId="24112D0F" w:rsidR="0019165E" w:rsidRPr="000068F3" w:rsidRDefault="0019165E" w:rsidP="0019165E">
      <w:pPr>
        <w:numPr>
          <w:ilvl w:val="1"/>
          <w:numId w:val="1"/>
        </w:numPr>
        <w:spacing w:after="0" w:line="360" w:lineRule="auto"/>
        <w:ind w:left="1061" w:hanging="284"/>
        <w:jc w:val="both"/>
        <w:rPr>
          <w:rFonts w:ascii="Times New Roman" w:hAnsi="Times New Roman"/>
          <w:bCs/>
          <w:sz w:val="24"/>
          <w:szCs w:val="24"/>
          <w:lang w:val="en-GB"/>
        </w:rPr>
      </w:pPr>
      <w:r w:rsidRPr="000068F3">
        <w:rPr>
          <w:rFonts w:ascii="Times New Roman" w:hAnsi="Times New Roman"/>
          <w:b/>
          <w:bCs/>
          <w:sz w:val="24"/>
          <w:szCs w:val="24"/>
          <w:lang w:val="en-GB"/>
        </w:rPr>
        <w:t xml:space="preserve">Quality of the peer review process. </w:t>
      </w:r>
      <w:r w:rsidRPr="000068F3">
        <w:rPr>
          <w:rFonts w:ascii="Times New Roman" w:hAnsi="Times New Roman"/>
          <w:bCs/>
          <w:sz w:val="24"/>
          <w:szCs w:val="24"/>
          <w:lang w:val="en-GB"/>
        </w:rPr>
        <w:t>Is</w:t>
      </w:r>
      <w:r w:rsidRPr="000068F3">
        <w:rPr>
          <w:rFonts w:ascii="Times New Roman" w:hAnsi="Times New Roman"/>
          <w:b/>
          <w:bCs/>
          <w:sz w:val="24"/>
          <w:szCs w:val="24"/>
          <w:lang w:val="en-GB"/>
        </w:rPr>
        <w:t xml:space="preserve"> </w:t>
      </w:r>
      <w:r w:rsidRPr="000068F3">
        <w:rPr>
          <w:rFonts w:ascii="Times New Roman" w:hAnsi="Times New Roman"/>
          <w:bCs/>
          <w:sz w:val="24"/>
          <w:szCs w:val="24"/>
          <w:lang w:val="en-GB"/>
        </w:rPr>
        <w:t>the outcome of the peer review process reliable so that it can be used without reservation in the evaluation proces</w:t>
      </w:r>
      <w:r w:rsidR="001D026A">
        <w:rPr>
          <w:rFonts w:ascii="Times New Roman" w:hAnsi="Times New Roman"/>
          <w:bCs/>
          <w:sz w:val="24"/>
          <w:szCs w:val="24"/>
          <w:lang w:val="en-GB"/>
        </w:rPr>
        <w:t>s</w:t>
      </w:r>
      <w:r w:rsidRPr="000068F3">
        <w:rPr>
          <w:rFonts w:ascii="Times New Roman" w:hAnsi="Times New Roman"/>
          <w:bCs/>
          <w:sz w:val="24"/>
          <w:szCs w:val="24"/>
          <w:lang w:val="en-GB"/>
        </w:rPr>
        <w:t xml:space="preserve">? </w:t>
      </w:r>
    </w:p>
    <w:p w14:paraId="3C10D804" w14:textId="77777777" w:rsidR="001D026A" w:rsidRDefault="001D026A" w:rsidP="0019165E">
      <w:pPr>
        <w:spacing w:after="0" w:line="360" w:lineRule="auto"/>
        <w:ind w:left="1061"/>
        <w:jc w:val="both"/>
        <w:rPr>
          <w:rFonts w:ascii="Times New Roman" w:hAnsi="Times New Roman"/>
          <w:b/>
          <w:bCs/>
          <w:sz w:val="24"/>
          <w:szCs w:val="24"/>
          <w:lang w:val="en-GB"/>
        </w:rPr>
      </w:pPr>
    </w:p>
    <w:p w14:paraId="2909D4F7" w14:textId="535C8890" w:rsidR="0019165E" w:rsidRPr="000068F3" w:rsidRDefault="001D026A" w:rsidP="0019165E">
      <w:pPr>
        <w:spacing w:after="0" w:line="360" w:lineRule="auto"/>
        <w:ind w:left="1061"/>
        <w:jc w:val="both"/>
        <w:rPr>
          <w:rFonts w:ascii="Times New Roman" w:hAnsi="Times New Roman"/>
          <w:b/>
          <w:bCs/>
          <w:sz w:val="24"/>
          <w:szCs w:val="24"/>
          <w:lang w:val="en-GB"/>
        </w:rPr>
      </w:pPr>
      <w:r>
        <w:rPr>
          <w:rFonts w:ascii="Times New Roman" w:hAnsi="Times New Roman"/>
          <w:b/>
          <w:bCs/>
          <w:sz w:val="24"/>
          <w:szCs w:val="24"/>
          <w:lang w:val="en-GB"/>
        </w:rPr>
        <w:t xml:space="preserve">It was felt that the quality of the peer review process might be unreliable, as </w:t>
      </w:r>
      <w:r w:rsidR="0019165E" w:rsidRPr="000068F3">
        <w:rPr>
          <w:rFonts w:ascii="Times New Roman" w:hAnsi="Times New Roman"/>
          <w:b/>
          <w:bCs/>
          <w:sz w:val="24"/>
          <w:szCs w:val="24"/>
          <w:lang w:val="en-GB"/>
        </w:rPr>
        <w:t xml:space="preserve"> only 93 papers </w:t>
      </w:r>
      <w:r>
        <w:rPr>
          <w:rFonts w:ascii="Times New Roman" w:hAnsi="Times New Roman"/>
          <w:b/>
          <w:bCs/>
          <w:sz w:val="24"/>
          <w:szCs w:val="24"/>
          <w:lang w:val="en-GB"/>
        </w:rPr>
        <w:t xml:space="preserve">were </w:t>
      </w:r>
      <w:r w:rsidR="0019165E" w:rsidRPr="000068F3">
        <w:rPr>
          <w:rFonts w:ascii="Times New Roman" w:hAnsi="Times New Roman"/>
          <w:b/>
          <w:bCs/>
          <w:sz w:val="24"/>
          <w:szCs w:val="24"/>
          <w:lang w:val="en-GB"/>
        </w:rPr>
        <w:t>presented</w:t>
      </w:r>
      <w:r>
        <w:rPr>
          <w:rFonts w:ascii="Times New Roman" w:hAnsi="Times New Roman"/>
          <w:b/>
          <w:bCs/>
          <w:sz w:val="24"/>
          <w:szCs w:val="24"/>
          <w:lang w:val="en-GB"/>
        </w:rPr>
        <w:t xml:space="preserve"> and the risk of bias was not considered.  Another system for future evaluation should be evaluated.</w:t>
      </w:r>
    </w:p>
    <w:p w14:paraId="793BCF95" w14:textId="19FDF7D7" w:rsidR="0019165E" w:rsidRPr="000068F3" w:rsidRDefault="0019165E" w:rsidP="0019165E">
      <w:pPr>
        <w:spacing w:after="0" w:line="360" w:lineRule="auto"/>
        <w:ind w:left="1061"/>
        <w:jc w:val="both"/>
        <w:rPr>
          <w:rFonts w:ascii="Times New Roman" w:hAnsi="Times New Roman"/>
          <w:b/>
          <w:bCs/>
          <w:sz w:val="24"/>
          <w:szCs w:val="24"/>
          <w:lang w:val="en-GB"/>
        </w:rPr>
      </w:pPr>
      <w:r w:rsidRPr="000068F3">
        <w:rPr>
          <w:rFonts w:ascii="Times New Roman" w:hAnsi="Times New Roman"/>
          <w:b/>
          <w:bCs/>
          <w:sz w:val="24"/>
          <w:szCs w:val="24"/>
          <w:lang w:val="en-GB"/>
        </w:rPr>
        <w:t>In the CUNI field Pharmacy and Toxicology</w:t>
      </w:r>
      <w:r w:rsidR="00C652E4">
        <w:rPr>
          <w:rFonts w:ascii="Times New Roman" w:hAnsi="Times New Roman"/>
          <w:b/>
          <w:bCs/>
          <w:sz w:val="24"/>
          <w:szCs w:val="24"/>
          <w:lang w:val="en-GB"/>
        </w:rPr>
        <w:t>,</w:t>
      </w:r>
      <w:r w:rsidRPr="000068F3">
        <w:rPr>
          <w:rFonts w:ascii="Times New Roman" w:hAnsi="Times New Roman"/>
          <w:b/>
          <w:bCs/>
          <w:sz w:val="24"/>
          <w:szCs w:val="24"/>
          <w:lang w:val="en-GB"/>
        </w:rPr>
        <w:t xml:space="preserve"> only 3 outputs (scientific papers) out of total 866 outputs (&lt;1%) (data from VEDA portal) were submitted to peer review. Two of </w:t>
      </w:r>
      <w:r w:rsidR="00C652E4" w:rsidRPr="000068F3">
        <w:rPr>
          <w:rFonts w:ascii="Times New Roman" w:hAnsi="Times New Roman"/>
          <w:b/>
          <w:bCs/>
          <w:sz w:val="24"/>
          <w:szCs w:val="24"/>
          <w:lang w:val="en-GB"/>
        </w:rPr>
        <w:t>t</w:t>
      </w:r>
      <w:r w:rsidR="00C652E4">
        <w:rPr>
          <w:rFonts w:ascii="Times New Roman" w:hAnsi="Times New Roman"/>
          <w:b/>
          <w:bCs/>
          <w:sz w:val="24"/>
          <w:szCs w:val="24"/>
          <w:lang w:val="en-GB"/>
        </w:rPr>
        <w:t>hese publications</w:t>
      </w:r>
      <w:r w:rsidR="00C652E4" w:rsidRPr="000068F3">
        <w:rPr>
          <w:rFonts w:ascii="Times New Roman" w:hAnsi="Times New Roman"/>
          <w:b/>
          <w:bCs/>
          <w:sz w:val="24"/>
          <w:szCs w:val="24"/>
          <w:lang w:val="en-GB"/>
        </w:rPr>
        <w:t xml:space="preserve"> </w:t>
      </w:r>
      <w:r w:rsidRPr="000068F3">
        <w:rPr>
          <w:rFonts w:ascii="Times New Roman" w:hAnsi="Times New Roman"/>
          <w:b/>
          <w:bCs/>
          <w:sz w:val="24"/>
          <w:szCs w:val="24"/>
          <w:lang w:val="en-GB"/>
        </w:rPr>
        <w:t xml:space="preserve">were D1 </w:t>
      </w:r>
      <w:r w:rsidR="00E31BF7">
        <w:rPr>
          <w:rFonts w:ascii="Times New Roman" w:hAnsi="Times New Roman"/>
          <w:b/>
          <w:bCs/>
          <w:sz w:val="24"/>
          <w:szCs w:val="24"/>
          <w:lang w:val="en-GB"/>
        </w:rPr>
        <w:t xml:space="preserve">(Top 10% of AIS papers) </w:t>
      </w:r>
      <w:r w:rsidRPr="000068F3">
        <w:rPr>
          <w:rFonts w:ascii="Times New Roman" w:hAnsi="Times New Roman"/>
          <w:b/>
          <w:bCs/>
          <w:sz w:val="24"/>
          <w:szCs w:val="24"/>
          <w:lang w:val="en-GB"/>
        </w:rPr>
        <w:t xml:space="preserve">papers in the field Pharmacy and </w:t>
      </w:r>
      <w:r w:rsidRPr="000068F3">
        <w:rPr>
          <w:rFonts w:ascii="Times New Roman" w:hAnsi="Times New Roman"/>
          <w:b/>
          <w:bCs/>
          <w:sz w:val="24"/>
          <w:szCs w:val="24"/>
          <w:lang w:val="en-GB"/>
        </w:rPr>
        <w:lastRenderedPageBreak/>
        <w:t xml:space="preserve">Pharmacology and the third one was a Q2 paper in the field Toxicology. The outcome of the peer review process cannot be considered reliable and cannot be used in the evaluation process because less than 1% of outputs were presented to peer review. </w:t>
      </w:r>
    </w:p>
    <w:p w14:paraId="06978EC1" w14:textId="77777777" w:rsidR="0019165E" w:rsidRPr="000068F3" w:rsidRDefault="0019165E" w:rsidP="0019165E">
      <w:pPr>
        <w:spacing w:after="0" w:line="360" w:lineRule="auto"/>
        <w:ind w:left="1061"/>
        <w:jc w:val="both"/>
        <w:rPr>
          <w:rFonts w:ascii="Times New Roman" w:hAnsi="Times New Roman"/>
          <w:b/>
          <w:bCs/>
          <w:sz w:val="24"/>
          <w:szCs w:val="24"/>
          <w:lang w:val="en-GB"/>
        </w:rPr>
      </w:pPr>
    </w:p>
    <w:p w14:paraId="7F4C2CE5" w14:textId="77777777" w:rsidR="0019165E" w:rsidRPr="000068F3" w:rsidRDefault="0019165E" w:rsidP="0019165E">
      <w:pPr>
        <w:numPr>
          <w:ilvl w:val="1"/>
          <w:numId w:val="1"/>
        </w:numPr>
        <w:spacing w:after="0" w:line="360" w:lineRule="auto"/>
        <w:ind w:left="1061" w:hanging="284"/>
        <w:jc w:val="both"/>
        <w:rPr>
          <w:rFonts w:ascii="Times New Roman" w:hAnsi="Times New Roman"/>
          <w:bCs/>
          <w:sz w:val="24"/>
          <w:szCs w:val="24"/>
          <w:lang w:val="en-GB"/>
        </w:rPr>
      </w:pPr>
      <w:r w:rsidRPr="000068F3">
        <w:rPr>
          <w:rFonts w:ascii="Times New Roman" w:hAnsi="Times New Roman"/>
          <w:b/>
          <w:bCs/>
          <w:sz w:val="24"/>
          <w:szCs w:val="24"/>
          <w:lang w:val="en-GB"/>
        </w:rPr>
        <w:t>Comparison with bibliometrics.</w:t>
      </w:r>
      <w:r w:rsidRPr="000068F3">
        <w:rPr>
          <w:rFonts w:ascii="Times New Roman" w:hAnsi="Times New Roman"/>
          <w:bCs/>
          <w:sz w:val="24"/>
          <w:szCs w:val="24"/>
          <w:lang w:val="en-GB"/>
        </w:rPr>
        <w:t xml:space="preserve"> Are there substantial discrepancies between the conclusions that can be drawn from the bibliometric analysis and those based on the peer review process? Could they be objectively interpreted? </w:t>
      </w:r>
    </w:p>
    <w:p w14:paraId="28634288" w14:textId="5A70E1C0" w:rsidR="0019165E" w:rsidRPr="000068F3" w:rsidRDefault="00C652E4" w:rsidP="0019165E">
      <w:pPr>
        <w:spacing w:after="0" w:line="360" w:lineRule="auto"/>
        <w:ind w:left="1061"/>
        <w:jc w:val="both"/>
        <w:rPr>
          <w:rFonts w:ascii="Times New Roman" w:hAnsi="Times New Roman"/>
          <w:b/>
          <w:bCs/>
          <w:sz w:val="24"/>
          <w:szCs w:val="24"/>
          <w:lang w:val="en-GB"/>
        </w:rPr>
      </w:pPr>
      <w:r>
        <w:rPr>
          <w:rFonts w:ascii="Times New Roman" w:hAnsi="Times New Roman"/>
          <w:b/>
          <w:bCs/>
          <w:sz w:val="24"/>
          <w:szCs w:val="24"/>
          <w:lang w:val="en-GB"/>
        </w:rPr>
        <w:t xml:space="preserve">The amount of publications was insufficient. However, a detailed analysis of the </w:t>
      </w:r>
      <w:r w:rsidR="0019165E" w:rsidRPr="000068F3">
        <w:rPr>
          <w:rFonts w:ascii="Times New Roman" w:hAnsi="Times New Roman"/>
          <w:b/>
          <w:bCs/>
          <w:sz w:val="24"/>
          <w:szCs w:val="24"/>
          <w:lang w:val="en-GB"/>
        </w:rPr>
        <w:t xml:space="preserve"> top 10% of the papers from subfields (Flagships) is presented under section C. </w:t>
      </w:r>
    </w:p>
    <w:p w14:paraId="02FC2045" w14:textId="1090D526" w:rsidR="0019165E" w:rsidRPr="000068F3" w:rsidRDefault="0019165E" w:rsidP="0019165E">
      <w:pPr>
        <w:spacing w:after="0" w:line="360" w:lineRule="auto"/>
        <w:ind w:left="1061"/>
        <w:jc w:val="both"/>
        <w:rPr>
          <w:rFonts w:ascii="Times New Roman" w:hAnsi="Times New Roman"/>
          <w:b/>
          <w:bCs/>
          <w:sz w:val="24"/>
          <w:szCs w:val="24"/>
          <w:lang w:val="en-GB"/>
        </w:rPr>
      </w:pPr>
      <w:r w:rsidRPr="000068F3">
        <w:rPr>
          <w:rFonts w:ascii="Times New Roman" w:hAnsi="Times New Roman"/>
          <w:b/>
          <w:bCs/>
          <w:sz w:val="24"/>
          <w:szCs w:val="24"/>
          <w:lang w:val="en-GB"/>
        </w:rPr>
        <w:t>In the CUNI field Pharmac</w:t>
      </w:r>
      <w:r w:rsidR="00C652E4">
        <w:rPr>
          <w:rFonts w:ascii="Times New Roman" w:hAnsi="Times New Roman"/>
          <w:b/>
          <w:bCs/>
          <w:sz w:val="24"/>
          <w:szCs w:val="24"/>
          <w:lang w:val="en-GB"/>
        </w:rPr>
        <w:t>y</w:t>
      </w:r>
      <w:r w:rsidRPr="000068F3">
        <w:rPr>
          <w:rFonts w:ascii="Times New Roman" w:hAnsi="Times New Roman"/>
          <w:b/>
          <w:bCs/>
          <w:sz w:val="24"/>
          <w:szCs w:val="24"/>
          <w:lang w:val="en-GB"/>
        </w:rPr>
        <w:t xml:space="preserve"> and Toxicology</w:t>
      </w:r>
      <w:r w:rsidR="00C652E4">
        <w:rPr>
          <w:rFonts w:ascii="Times New Roman" w:hAnsi="Times New Roman"/>
          <w:b/>
          <w:bCs/>
          <w:sz w:val="24"/>
          <w:szCs w:val="24"/>
          <w:lang w:val="en-GB"/>
        </w:rPr>
        <w:t>,</w:t>
      </w:r>
      <w:r w:rsidRPr="000068F3">
        <w:rPr>
          <w:rFonts w:ascii="Times New Roman" w:hAnsi="Times New Roman"/>
          <w:b/>
          <w:bCs/>
          <w:sz w:val="24"/>
          <w:szCs w:val="24"/>
          <w:lang w:val="en-GB"/>
        </w:rPr>
        <w:t xml:space="preserve"> all  three peer-reviewed papers received </w:t>
      </w:r>
      <w:r w:rsidR="00C652E4">
        <w:rPr>
          <w:rFonts w:ascii="Times New Roman" w:hAnsi="Times New Roman"/>
          <w:b/>
          <w:bCs/>
          <w:sz w:val="24"/>
          <w:szCs w:val="24"/>
          <w:lang w:val="en-GB"/>
        </w:rPr>
        <w:t xml:space="preserve">a </w:t>
      </w:r>
      <w:r w:rsidRPr="000068F3">
        <w:rPr>
          <w:rFonts w:ascii="Times New Roman" w:hAnsi="Times New Roman"/>
          <w:b/>
          <w:bCs/>
          <w:sz w:val="24"/>
          <w:szCs w:val="24"/>
          <w:lang w:val="en-GB"/>
        </w:rPr>
        <w:t>grade</w:t>
      </w:r>
      <w:r w:rsidR="00C652E4">
        <w:rPr>
          <w:rFonts w:ascii="Times New Roman" w:hAnsi="Times New Roman"/>
          <w:b/>
          <w:bCs/>
          <w:sz w:val="24"/>
          <w:szCs w:val="24"/>
          <w:lang w:val="en-GB"/>
        </w:rPr>
        <w:t xml:space="preserve"> of</w:t>
      </w:r>
      <w:r w:rsidRPr="000068F3">
        <w:rPr>
          <w:rFonts w:ascii="Times New Roman" w:hAnsi="Times New Roman"/>
          <w:b/>
          <w:bCs/>
          <w:sz w:val="24"/>
          <w:szCs w:val="24"/>
          <w:lang w:val="en-GB"/>
        </w:rPr>
        <w:t xml:space="preserve"> B</w:t>
      </w:r>
      <w:r w:rsidR="00C652E4">
        <w:rPr>
          <w:rFonts w:ascii="Times New Roman" w:hAnsi="Times New Roman"/>
          <w:b/>
          <w:bCs/>
          <w:sz w:val="24"/>
          <w:szCs w:val="24"/>
          <w:lang w:val="en-GB"/>
        </w:rPr>
        <w:t>,</w:t>
      </w:r>
      <w:r w:rsidRPr="000068F3">
        <w:rPr>
          <w:rFonts w:ascii="Times New Roman" w:hAnsi="Times New Roman"/>
          <w:b/>
          <w:bCs/>
          <w:sz w:val="24"/>
          <w:szCs w:val="24"/>
          <w:lang w:val="en-GB"/>
        </w:rPr>
        <w:t xml:space="preserve"> which cannot be considered as reliable </w:t>
      </w:r>
      <w:r w:rsidR="00C652E4">
        <w:rPr>
          <w:rFonts w:ascii="Times New Roman" w:hAnsi="Times New Roman"/>
          <w:b/>
          <w:bCs/>
          <w:sz w:val="24"/>
          <w:szCs w:val="24"/>
          <w:lang w:val="en-GB"/>
        </w:rPr>
        <w:t xml:space="preserve">enough </w:t>
      </w:r>
      <w:r w:rsidRPr="000068F3">
        <w:rPr>
          <w:rFonts w:ascii="Times New Roman" w:hAnsi="Times New Roman"/>
          <w:b/>
          <w:bCs/>
          <w:sz w:val="24"/>
          <w:szCs w:val="24"/>
          <w:lang w:val="en-GB"/>
        </w:rPr>
        <w:t>to be used in the evaluation process. The number of reviewed papers was too low to enable drawing reliable concl</w:t>
      </w:r>
      <w:r w:rsidR="00C652E4">
        <w:rPr>
          <w:rFonts w:ascii="Times New Roman" w:hAnsi="Times New Roman"/>
          <w:b/>
          <w:bCs/>
          <w:sz w:val="24"/>
          <w:szCs w:val="24"/>
          <w:lang w:val="en-GB"/>
        </w:rPr>
        <w:t>u</w:t>
      </w:r>
      <w:r w:rsidRPr="000068F3">
        <w:rPr>
          <w:rFonts w:ascii="Times New Roman" w:hAnsi="Times New Roman"/>
          <w:b/>
          <w:bCs/>
          <w:sz w:val="24"/>
          <w:szCs w:val="24"/>
          <w:lang w:val="en-GB"/>
        </w:rPr>
        <w:t xml:space="preserve">sions from the peer review process and bibliometric analysis. </w:t>
      </w:r>
    </w:p>
    <w:p w14:paraId="3B846463" w14:textId="77777777" w:rsidR="002C03B2" w:rsidRPr="000068F3" w:rsidRDefault="002C03B2" w:rsidP="003672BA">
      <w:pPr>
        <w:spacing w:after="0" w:line="360" w:lineRule="auto"/>
        <w:ind w:left="1061" w:right="93"/>
        <w:jc w:val="both"/>
        <w:rPr>
          <w:rFonts w:ascii="Times New Roman" w:hAnsi="Times New Roman"/>
          <w:b/>
          <w:bCs/>
          <w:sz w:val="24"/>
          <w:szCs w:val="24"/>
          <w:lang w:val="en-GB"/>
        </w:rPr>
      </w:pPr>
    </w:p>
    <w:p w14:paraId="610BFF88" w14:textId="77777777" w:rsidR="002C03B2" w:rsidRPr="00AC72BF" w:rsidRDefault="00F32582" w:rsidP="003672BA">
      <w:pPr>
        <w:numPr>
          <w:ilvl w:val="1"/>
          <w:numId w:val="1"/>
        </w:numPr>
        <w:spacing w:after="0" w:line="360" w:lineRule="auto"/>
        <w:ind w:left="1077" w:right="93" w:hanging="357"/>
        <w:jc w:val="both"/>
        <w:rPr>
          <w:rFonts w:ascii="Times New Roman" w:hAnsi="Times New Roman"/>
          <w:bCs/>
          <w:sz w:val="24"/>
          <w:szCs w:val="24"/>
          <w:lang w:val="en-GB"/>
        </w:rPr>
      </w:pPr>
      <w:r w:rsidRPr="00AC72BF">
        <w:rPr>
          <w:rFonts w:ascii="Times New Roman" w:hAnsi="Times New Roman"/>
          <w:b/>
          <w:bCs/>
          <w:sz w:val="24"/>
          <w:szCs w:val="24"/>
          <w:lang w:val="en-GB"/>
        </w:rPr>
        <w:t>Output quality</w:t>
      </w:r>
      <w:r w:rsidR="00E925C4" w:rsidRPr="00AC72BF">
        <w:rPr>
          <w:rFonts w:ascii="Times New Roman" w:hAnsi="Times New Roman"/>
          <w:b/>
          <w:bCs/>
          <w:sz w:val="24"/>
          <w:szCs w:val="24"/>
          <w:lang w:val="en-GB"/>
        </w:rPr>
        <w:t xml:space="preserve"> based on the r</w:t>
      </w:r>
      <w:r w:rsidR="00EF62EC" w:rsidRPr="00AC72BF">
        <w:rPr>
          <w:rFonts w:ascii="Times New Roman" w:hAnsi="Times New Roman"/>
          <w:b/>
          <w:bCs/>
          <w:sz w:val="24"/>
          <w:szCs w:val="24"/>
          <w:lang w:val="en-GB"/>
        </w:rPr>
        <w:t>e</w:t>
      </w:r>
      <w:r w:rsidR="00E925C4" w:rsidRPr="00AC72BF">
        <w:rPr>
          <w:rFonts w:ascii="Times New Roman" w:hAnsi="Times New Roman"/>
          <w:b/>
          <w:bCs/>
          <w:sz w:val="24"/>
          <w:szCs w:val="24"/>
          <w:lang w:val="en-GB"/>
        </w:rPr>
        <w:t>views of the selected results</w:t>
      </w:r>
      <w:r w:rsidRPr="00AC72BF">
        <w:rPr>
          <w:rFonts w:ascii="Times New Roman" w:hAnsi="Times New Roman"/>
          <w:b/>
          <w:bCs/>
          <w:sz w:val="24"/>
          <w:szCs w:val="24"/>
          <w:lang w:val="en-GB"/>
        </w:rPr>
        <w:t>.</w:t>
      </w:r>
      <w:r w:rsidRPr="00AC72BF">
        <w:rPr>
          <w:rFonts w:ascii="Times New Roman" w:hAnsi="Times New Roman"/>
          <w:bCs/>
          <w:sz w:val="24"/>
          <w:szCs w:val="24"/>
          <w:lang w:val="en-GB"/>
        </w:rPr>
        <w:t xml:space="preserve"> </w:t>
      </w:r>
      <w:r w:rsidR="00E925C4" w:rsidRPr="00AC72BF">
        <w:rPr>
          <w:rFonts w:ascii="Times New Roman" w:hAnsi="Times New Roman"/>
          <w:bCs/>
          <w:sz w:val="24"/>
          <w:szCs w:val="24"/>
          <w:lang w:val="en-GB"/>
        </w:rPr>
        <w:t>I</w:t>
      </w:r>
      <w:r w:rsidR="003366B1" w:rsidRPr="00AC72BF">
        <w:rPr>
          <w:rFonts w:ascii="Times New Roman" w:hAnsi="Times New Roman"/>
          <w:bCs/>
          <w:sz w:val="24"/>
          <w:szCs w:val="24"/>
          <w:lang w:val="en-GB"/>
        </w:rPr>
        <w:t xml:space="preserve">s the </w:t>
      </w:r>
      <w:r w:rsidR="000608FF" w:rsidRPr="00AC72BF">
        <w:rPr>
          <w:rFonts w:ascii="Times New Roman" w:hAnsi="Times New Roman"/>
          <w:bCs/>
          <w:sz w:val="24"/>
          <w:szCs w:val="24"/>
          <w:lang w:val="en-GB"/>
        </w:rPr>
        <w:t xml:space="preserve">overall </w:t>
      </w:r>
      <w:r w:rsidR="00CC33E9" w:rsidRPr="00AC72BF">
        <w:rPr>
          <w:rFonts w:ascii="Times New Roman" w:hAnsi="Times New Roman"/>
          <w:bCs/>
          <w:sz w:val="24"/>
          <w:szCs w:val="24"/>
          <w:lang w:val="en-GB"/>
        </w:rPr>
        <w:t xml:space="preserve">scientific </w:t>
      </w:r>
      <w:r w:rsidR="003366B1" w:rsidRPr="00AC72BF">
        <w:rPr>
          <w:rFonts w:ascii="Times New Roman" w:hAnsi="Times New Roman"/>
          <w:bCs/>
          <w:sz w:val="24"/>
          <w:szCs w:val="24"/>
          <w:lang w:val="en-GB"/>
        </w:rPr>
        <w:t xml:space="preserve">quality of the </w:t>
      </w:r>
      <w:r w:rsidR="00CC33E9" w:rsidRPr="00AC72BF">
        <w:rPr>
          <w:rFonts w:ascii="Times New Roman" w:hAnsi="Times New Roman"/>
          <w:bCs/>
          <w:sz w:val="24"/>
          <w:szCs w:val="24"/>
          <w:lang w:val="en-GB"/>
        </w:rPr>
        <w:t xml:space="preserve">selected </w:t>
      </w:r>
      <w:r w:rsidR="003366B1" w:rsidRPr="00AC72BF">
        <w:rPr>
          <w:rFonts w:ascii="Times New Roman" w:hAnsi="Times New Roman"/>
          <w:bCs/>
          <w:sz w:val="24"/>
          <w:szCs w:val="24"/>
          <w:lang w:val="en-GB"/>
        </w:rPr>
        <w:t xml:space="preserve">results ranked </w:t>
      </w:r>
      <w:r w:rsidR="00CC33E9" w:rsidRPr="00AC72BF">
        <w:rPr>
          <w:rFonts w:ascii="Times New Roman" w:hAnsi="Times New Roman"/>
          <w:bCs/>
          <w:sz w:val="24"/>
          <w:szCs w:val="24"/>
          <w:lang w:val="en-GB"/>
        </w:rPr>
        <w:t xml:space="preserve">highly </w:t>
      </w:r>
      <w:r w:rsidR="003366B1" w:rsidRPr="00AC72BF">
        <w:rPr>
          <w:rFonts w:ascii="Times New Roman" w:hAnsi="Times New Roman"/>
          <w:bCs/>
          <w:sz w:val="24"/>
          <w:szCs w:val="24"/>
          <w:lang w:val="en-GB"/>
        </w:rPr>
        <w:t>by the reviewers</w:t>
      </w:r>
      <w:r w:rsidR="00E925C4" w:rsidRPr="00AC72BF">
        <w:rPr>
          <w:rFonts w:ascii="Times New Roman" w:hAnsi="Times New Roman"/>
          <w:bCs/>
          <w:sz w:val="24"/>
          <w:szCs w:val="24"/>
          <w:lang w:val="en-GB"/>
        </w:rPr>
        <w:t xml:space="preserve"> </w:t>
      </w:r>
      <w:r w:rsidR="003366B1" w:rsidRPr="00AC72BF">
        <w:rPr>
          <w:rFonts w:ascii="Times New Roman" w:hAnsi="Times New Roman"/>
          <w:bCs/>
          <w:sz w:val="24"/>
          <w:szCs w:val="24"/>
          <w:lang w:val="en-GB"/>
        </w:rPr>
        <w:t xml:space="preserve">comparable to </w:t>
      </w:r>
      <w:r w:rsidR="00CC33E9" w:rsidRPr="00AC72BF">
        <w:rPr>
          <w:rFonts w:ascii="Times New Roman" w:hAnsi="Times New Roman"/>
          <w:bCs/>
          <w:sz w:val="24"/>
          <w:szCs w:val="24"/>
          <w:lang w:val="en-GB"/>
        </w:rPr>
        <w:t xml:space="preserve">that of </w:t>
      </w:r>
      <w:r w:rsidR="003366B1" w:rsidRPr="00AC72BF">
        <w:rPr>
          <w:rFonts w:ascii="Times New Roman" w:hAnsi="Times New Roman"/>
          <w:bCs/>
          <w:sz w:val="24"/>
          <w:szCs w:val="24"/>
          <w:lang w:val="en-GB"/>
        </w:rPr>
        <w:t xml:space="preserve">the </w:t>
      </w:r>
      <w:r w:rsidR="00E925C4" w:rsidRPr="00AC72BF">
        <w:rPr>
          <w:rFonts w:ascii="Times New Roman" w:hAnsi="Times New Roman"/>
          <w:bCs/>
          <w:sz w:val="24"/>
          <w:szCs w:val="24"/>
          <w:lang w:val="en-GB"/>
        </w:rPr>
        <w:t xml:space="preserve">top publications from the </w:t>
      </w:r>
      <w:r w:rsidR="003366B1" w:rsidRPr="00AC72BF">
        <w:rPr>
          <w:rFonts w:ascii="Times New Roman" w:hAnsi="Times New Roman"/>
          <w:bCs/>
          <w:sz w:val="24"/>
          <w:szCs w:val="24"/>
          <w:lang w:val="en-GB"/>
        </w:rPr>
        <w:t xml:space="preserve">benchmark universities? Is the quantity of the </w:t>
      </w:r>
      <w:r w:rsidR="00E925C4" w:rsidRPr="00AC72BF">
        <w:rPr>
          <w:rFonts w:ascii="Times New Roman" w:hAnsi="Times New Roman"/>
          <w:bCs/>
          <w:sz w:val="24"/>
          <w:szCs w:val="24"/>
          <w:lang w:val="en-GB"/>
        </w:rPr>
        <w:t>high</w:t>
      </w:r>
      <w:r w:rsidR="00CC33E9" w:rsidRPr="00AC72BF">
        <w:rPr>
          <w:rFonts w:ascii="Times New Roman" w:hAnsi="Times New Roman"/>
          <w:bCs/>
          <w:sz w:val="24"/>
          <w:szCs w:val="24"/>
          <w:lang w:val="en-GB"/>
        </w:rPr>
        <w:t>ly ranked outputs</w:t>
      </w:r>
      <w:r w:rsidR="003366B1" w:rsidRPr="00AC72BF">
        <w:rPr>
          <w:rFonts w:ascii="Times New Roman" w:hAnsi="Times New Roman"/>
          <w:bCs/>
          <w:sz w:val="24"/>
          <w:szCs w:val="24"/>
          <w:lang w:val="en-GB"/>
        </w:rPr>
        <w:t xml:space="preserve"> adequate</w:t>
      </w:r>
      <w:r w:rsidR="00E925C4" w:rsidRPr="00AC72BF">
        <w:rPr>
          <w:rFonts w:ascii="Times New Roman" w:hAnsi="Times New Roman"/>
          <w:bCs/>
          <w:sz w:val="24"/>
          <w:szCs w:val="24"/>
          <w:lang w:val="en-GB"/>
        </w:rPr>
        <w:t xml:space="preserve"> and </w:t>
      </w:r>
      <w:r w:rsidR="003366B1" w:rsidRPr="00AC72BF">
        <w:rPr>
          <w:rFonts w:ascii="Times New Roman" w:hAnsi="Times New Roman"/>
          <w:bCs/>
          <w:sz w:val="24"/>
          <w:szCs w:val="24"/>
          <w:lang w:val="en-GB"/>
        </w:rPr>
        <w:t>comparable to the</w:t>
      </w:r>
      <w:r w:rsidR="00EF62EC" w:rsidRPr="00AC72BF">
        <w:rPr>
          <w:rFonts w:ascii="Times New Roman" w:hAnsi="Times New Roman"/>
          <w:bCs/>
          <w:sz w:val="24"/>
          <w:szCs w:val="24"/>
          <w:lang w:val="en-GB"/>
        </w:rPr>
        <w:t xml:space="preserve"> quantity of the</w:t>
      </w:r>
      <w:r w:rsidR="003366B1" w:rsidRPr="00AC72BF">
        <w:rPr>
          <w:rFonts w:ascii="Times New Roman" w:hAnsi="Times New Roman"/>
          <w:bCs/>
          <w:sz w:val="24"/>
          <w:szCs w:val="24"/>
          <w:lang w:val="en-GB"/>
        </w:rPr>
        <w:t xml:space="preserve"> </w:t>
      </w:r>
      <w:r w:rsidR="00E925C4" w:rsidRPr="00AC72BF">
        <w:rPr>
          <w:rFonts w:ascii="Times New Roman" w:hAnsi="Times New Roman"/>
          <w:bCs/>
          <w:sz w:val="24"/>
          <w:szCs w:val="24"/>
          <w:lang w:val="en-GB"/>
        </w:rPr>
        <w:t xml:space="preserve">top ouputs from the </w:t>
      </w:r>
      <w:r w:rsidR="003366B1" w:rsidRPr="00AC72BF">
        <w:rPr>
          <w:rFonts w:ascii="Times New Roman" w:hAnsi="Times New Roman"/>
          <w:bCs/>
          <w:sz w:val="24"/>
          <w:szCs w:val="24"/>
          <w:lang w:val="en-GB"/>
        </w:rPr>
        <w:t>benchmark universities?</w:t>
      </w:r>
      <w:r w:rsidR="007B046A" w:rsidRPr="00AC72BF">
        <w:rPr>
          <w:rFonts w:ascii="Times New Roman" w:hAnsi="Times New Roman"/>
          <w:bCs/>
          <w:sz w:val="24"/>
          <w:szCs w:val="24"/>
          <w:lang w:val="en-GB"/>
        </w:rPr>
        <w:t xml:space="preserve"> </w:t>
      </w:r>
    </w:p>
    <w:p w14:paraId="36170BD9" w14:textId="77777777" w:rsidR="002C03B2" w:rsidRPr="00AC72BF" w:rsidRDefault="002C03B2" w:rsidP="003672BA">
      <w:pPr>
        <w:spacing w:after="0" w:line="360" w:lineRule="auto"/>
        <w:ind w:left="1077" w:right="93"/>
        <w:jc w:val="both"/>
        <w:rPr>
          <w:rFonts w:ascii="Times New Roman" w:hAnsi="Times New Roman"/>
          <w:b/>
          <w:bCs/>
          <w:sz w:val="24"/>
          <w:szCs w:val="24"/>
          <w:lang w:val="en-GB"/>
        </w:rPr>
      </w:pPr>
    </w:p>
    <w:p w14:paraId="7C8F091B" w14:textId="54A8B56B" w:rsidR="0019165E" w:rsidRDefault="00E84CF4" w:rsidP="0019165E">
      <w:pPr>
        <w:spacing w:after="0" w:line="360" w:lineRule="auto"/>
        <w:ind w:left="1077"/>
        <w:jc w:val="both"/>
        <w:rPr>
          <w:rFonts w:ascii="Times New Roman" w:hAnsi="Times New Roman"/>
          <w:b/>
          <w:bCs/>
          <w:sz w:val="24"/>
          <w:szCs w:val="24"/>
          <w:lang w:val="en-GB"/>
        </w:rPr>
      </w:pPr>
      <w:r w:rsidRPr="00AC72BF">
        <w:rPr>
          <w:rFonts w:ascii="Times New Roman" w:hAnsi="Times New Roman"/>
          <w:b/>
          <w:bCs/>
          <w:sz w:val="24"/>
          <w:szCs w:val="24"/>
          <w:lang w:val="en-GB"/>
        </w:rPr>
        <w:t>Most probably yes.</w:t>
      </w:r>
      <w:r w:rsidR="0019165E">
        <w:rPr>
          <w:rFonts w:ascii="Times New Roman" w:hAnsi="Times New Roman"/>
          <w:b/>
          <w:bCs/>
          <w:sz w:val="24"/>
          <w:szCs w:val="24"/>
          <w:lang w:val="en-GB"/>
        </w:rPr>
        <w:t xml:space="preserve"> Interestingly, in the field Pharmacy and Pharmacology both D1 papers were ranked lower by the reviewers </w:t>
      </w:r>
    </w:p>
    <w:p w14:paraId="5CA14B34" w14:textId="2A28DC10" w:rsidR="003366B1" w:rsidRPr="00AC72BF" w:rsidRDefault="003366B1" w:rsidP="003672BA">
      <w:pPr>
        <w:spacing w:after="0" w:line="360" w:lineRule="auto"/>
        <w:ind w:left="1077" w:right="93"/>
        <w:jc w:val="both"/>
        <w:rPr>
          <w:rFonts w:ascii="Times New Roman" w:hAnsi="Times New Roman"/>
          <w:b/>
          <w:bCs/>
          <w:sz w:val="24"/>
          <w:szCs w:val="24"/>
          <w:lang w:val="en-GB"/>
        </w:rPr>
      </w:pPr>
    </w:p>
    <w:p w14:paraId="32CEE8C0" w14:textId="77777777" w:rsidR="00542BA5" w:rsidRPr="00AC72BF" w:rsidRDefault="00542BA5" w:rsidP="003672BA">
      <w:pPr>
        <w:spacing w:after="0" w:line="360" w:lineRule="auto"/>
        <w:ind w:left="1077" w:right="93"/>
        <w:jc w:val="both"/>
        <w:rPr>
          <w:rFonts w:ascii="Times New Roman" w:hAnsi="Times New Roman"/>
          <w:bCs/>
          <w:sz w:val="24"/>
          <w:szCs w:val="24"/>
          <w:lang w:val="en-GB"/>
        </w:rPr>
      </w:pPr>
    </w:p>
    <w:p w14:paraId="46C3E5F1" w14:textId="77777777" w:rsidR="00542BA5" w:rsidRPr="002D5FC7" w:rsidRDefault="001E62E1" w:rsidP="003672BA">
      <w:pPr>
        <w:pStyle w:val="Odstavecseseznamem"/>
        <w:numPr>
          <w:ilvl w:val="0"/>
          <w:numId w:val="1"/>
        </w:numPr>
        <w:spacing w:after="0" w:line="360" w:lineRule="auto"/>
        <w:ind w:right="93"/>
        <w:jc w:val="both"/>
        <w:rPr>
          <w:rFonts w:ascii="Times New Roman" w:hAnsi="Times New Roman"/>
          <w:bCs/>
          <w:sz w:val="32"/>
          <w:szCs w:val="32"/>
          <w:lang w:val="en-GB"/>
        </w:rPr>
      </w:pPr>
      <w:r w:rsidRPr="002D5FC7">
        <w:rPr>
          <w:rFonts w:ascii="Times New Roman" w:hAnsi="Times New Roman"/>
          <w:b/>
          <w:bCs/>
          <w:sz w:val="32"/>
          <w:szCs w:val="32"/>
          <w:lang w:val="en-GB"/>
        </w:rPr>
        <w:t xml:space="preserve">Breadth/completeness of the research </w:t>
      </w:r>
      <w:r w:rsidR="001B0FE9" w:rsidRPr="002D5FC7">
        <w:rPr>
          <w:rFonts w:ascii="Times New Roman" w:hAnsi="Times New Roman"/>
          <w:b/>
          <w:bCs/>
          <w:sz w:val="32"/>
          <w:szCs w:val="32"/>
          <w:lang w:val="en-GB"/>
        </w:rPr>
        <w:t>in the field</w:t>
      </w:r>
      <w:r w:rsidR="004D4EB6" w:rsidRPr="002D5FC7">
        <w:rPr>
          <w:rFonts w:ascii="Times New Roman" w:hAnsi="Times New Roman"/>
          <w:b/>
          <w:bCs/>
          <w:sz w:val="32"/>
          <w:szCs w:val="32"/>
          <w:lang w:val="en-GB"/>
        </w:rPr>
        <w:t>/area</w:t>
      </w:r>
    </w:p>
    <w:p w14:paraId="6459205F" w14:textId="77777777" w:rsidR="008C2AA7" w:rsidRPr="00AC72BF" w:rsidRDefault="008C2AA7" w:rsidP="003672BA">
      <w:pPr>
        <w:pStyle w:val="Odstavecseseznamem"/>
        <w:spacing w:after="0" w:line="360" w:lineRule="auto"/>
        <w:ind w:left="360" w:right="93"/>
        <w:jc w:val="both"/>
        <w:rPr>
          <w:rFonts w:ascii="Times New Roman" w:hAnsi="Times New Roman"/>
          <w:bCs/>
          <w:sz w:val="24"/>
          <w:szCs w:val="24"/>
          <w:lang w:val="en-GB"/>
        </w:rPr>
      </w:pPr>
    </w:p>
    <w:p w14:paraId="3BEC0857" w14:textId="0474D893" w:rsidR="00626F2C" w:rsidRPr="00AC72BF" w:rsidRDefault="00D97B68"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lastRenderedPageBreak/>
        <w:t xml:space="preserve">In assessing the </w:t>
      </w:r>
      <w:r w:rsidR="00C652E4">
        <w:rPr>
          <w:rFonts w:ascii="Times New Roman" w:hAnsi="Times New Roman"/>
          <w:bCs/>
          <w:sz w:val="24"/>
          <w:szCs w:val="24"/>
          <w:lang w:val="en-GB"/>
        </w:rPr>
        <w:t>breadth of research</w:t>
      </w:r>
      <w:r w:rsidRPr="00AC72BF">
        <w:rPr>
          <w:rFonts w:ascii="Times New Roman" w:hAnsi="Times New Roman"/>
          <w:bCs/>
          <w:sz w:val="24"/>
          <w:szCs w:val="24"/>
          <w:lang w:val="en-GB"/>
        </w:rPr>
        <w:t>, the panel decided to focus on the main subfields, also called "flagships." Papers published in each subfield in the Top 10% AIS Journals were considered for further analysis. For multicentric and multinational studies, the contribution of CUNI authors (first author, last author, second and second last author) was taken into account.</w:t>
      </w:r>
    </w:p>
    <w:p w14:paraId="5B86B168" w14:textId="77777777" w:rsidR="00FB0CB0" w:rsidRPr="00AC72BF" w:rsidRDefault="00FB0CB0" w:rsidP="003672BA">
      <w:pPr>
        <w:pStyle w:val="Odstavecseseznamem"/>
        <w:spacing w:after="0" w:line="360" w:lineRule="auto"/>
        <w:ind w:left="360" w:right="93"/>
        <w:jc w:val="both"/>
        <w:rPr>
          <w:rFonts w:ascii="Times New Roman" w:hAnsi="Times New Roman"/>
          <w:bCs/>
          <w:sz w:val="24"/>
          <w:szCs w:val="24"/>
          <w:lang w:val="en-GB"/>
        </w:rPr>
      </w:pPr>
    </w:p>
    <w:p w14:paraId="5950D38C" w14:textId="459B8FFF" w:rsidR="00FB0CB0" w:rsidRPr="00AC72BF" w:rsidRDefault="00FB0CB0"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 xml:space="preserve">The panel decided to assess the output of </w:t>
      </w:r>
      <w:r w:rsidR="00C652E4">
        <w:rPr>
          <w:rFonts w:ascii="Times New Roman" w:hAnsi="Times New Roman"/>
          <w:b/>
          <w:bCs/>
          <w:sz w:val="24"/>
          <w:szCs w:val="24"/>
          <w:lang w:val="en-GB"/>
        </w:rPr>
        <w:t>the flagship</w:t>
      </w:r>
      <w:r w:rsidRPr="00AC72BF">
        <w:rPr>
          <w:rFonts w:ascii="Times New Roman" w:hAnsi="Times New Roman"/>
          <w:b/>
          <w:bCs/>
          <w:sz w:val="24"/>
          <w:szCs w:val="24"/>
          <w:lang w:val="en-GB"/>
        </w:rPr>
        <w:t xml:space="preserve"> subfield of the 5 medical faculties, as the panel members </w:t>
      </w:r>
      <w:r w:rsidR="00C652E4">
        <w:rPr>
          <w:rFonts w:ascii="Times New Roman" w:hAnsi="Times New Roman"/>
          <w:b/>
          <w:bCs/>
          <w:sz w:val="24"/>
          <w:szCs w:val="24"/>
          <w:lang w:val="en-GB"/>
        </w:rPr>
        <w:t>did not have</w:t>
      </w:r>
      <w:r w:rsidRPr="00AC72BF">
        <w:rPr>
          <w:rFonts w:ascii="Times New Roman" w:hAnsi="Times New Roman"/>
          <w:b/>
          <w:bCs/>
          <w:sz w:val="24"/>
          <w:szCs w:val="24"/>
          <w:lang w:val="en-GB"/>
        </w:rPr>
        <w:t xml:space="preserve"> sufficient expertise to assess all subfields. The outputs </w:t>
      </w:r>
      <w:r w:rsidR="00C652E4">
        <w:rPr>
          <w:rFonts w:ascii="Times New Roman" w:hAnsi="Times New Roman"/>
          <w:b/>
          <w:bCs/>
          <w:sz w:val="24"/>
          <w:szCs w:val="24"/>
          <w:lang w:val="en-GB"/>
        </w:rPr>
        <w:t xml:space="preserve">were </w:t>
      </w:r>
      <w:r w:rsidRPr="00AC72BF">
        <w:rPr>
          <w:rFonts w:ascii="Times New Roman" w:hAnsi="Times New Roman"/>
          <w:b/>
          <w:bCs/>
          <w:sz w:val="24"/>
          <w:szCs w:val="24"/>
          <w:lang w:val="en-GB"/>
        </w:rPr>
        <w:t xml:space="preserve"> generated from the CUNI subfields</w:t>
      </w:r>
      <w:r w:rsidR="00DA2FF1">
        <w:rPr>
          <w:rFonts w:ascii="Times New Roman" w:hAnsi="Times New Roman"/>
          <w:b/>
          <w:bCs/>
          <w:sz w:val="24"/>
          <w:szCs w:val="24"/>
          <w:lang w:val="en-GB"/>
        </w:rPr>
        <w:t xml:space="preserve"> publications</w:t>
      </w:r>
      <w:r w:rsidRPr="00AC72BF">
        <w:rPr>
          <w:rFonts w:ascii="Times New Roman" w:hAnsi="Times New Roman"/>
          <w:b/>
          <w:bCs/>
          <w:sz w:val="24"/>
          <w:szCs w:val="24"/>
          <w:lang w:val="en-GB"/>
        </w:rPr>
        <w:t xml:space="preserve"> </w:t>
      </w:r>
      <w:r w:rsidR="0098121A" w:rsidRPr="00AC72BF">
        <w:rPr>
          <w:rFonts w:ascii="Times New Roman" w:hAnsi="Times New Roman"/>
          <w:b/>
          <w:bCs/>
          <w:sz w:val="24"/>
          <w:szCs w:val="24"/>
          <w:lang w:val="en-GB"/>
        </w:rPr>
        <w:t>and fo</w:t>
      </w:r>
      <w:r w:rsidR="00C652E4">
        <w:rPr>
          <w:rFonts w:ascii="Times New Roman" w:hAnsi="Times New Roman"/>
          <w:b/>
          <w:bCs/>
          <w:sz w:val="24"/>
          <w:szCs w:val="24"/>
          <w:lang w:val="en-GB"/>
        </w:rPr>
        <w:t>c</w:t>
      </w:r>
      <w:r w:rsidR="0098121A" w:rsidRPr="00AC72BF">
        <w:rPr>
          <w:rFonts w:ascii="Times New Roman" w:hAnsi="Times New Roman"/>
          <w:b/>
          <w:bCs/>
          <w:sz w:val="24"/>
          <w:szCs w:val="24"/>
          <w:lang w:val="en-GB"/>
        </w:rPr>
        <w:t xml:space="preserve">used on the </w:t>
      </w:r>
      <w:r w:rsidR="00C652E4">
        <w:rPr>
          <w:rFonts w:ascii="Times New Roman" w:hAnsi="Times New Roman"/>
          <w:b/>
          <w:bCs/>
          <w:sz w:val="24"/>
          <w:szCs w:val="24"/>
          <w:lang w:val="en-GB"/>
        </w:rPr>
        <w:t>t</w:t>
      </w:r>
      <w:r w:rsidR="0098121A" w:rsidRPr="00AC72BF">
        <w:rPr>
          <w:rFonts w:ascii="Times New Roman" w:hAnsi="Times New Roman"/>
          <w:b/>
          <w:bCs/>
          <w:sz w:val="24"/>
          <w:szCs w:val="24"/>
          <w:lang w:val="en-GB"/>
        </w:rPr>
        <w:t xml:space="preserve">op 10% </w:t>
      </w:r>
      <w:r w:rsidR="00950270" w:rsidRPr="00AC72BF">
        <w:rPr>
          <w:rFonts w:ascii="Times New Roman" w:hAnsi="Times New Roman"/>
          <w:b/>
          <w:bCs/>
          <w:sz w:val="24"/>
          <w:szCs w:val="24"/>
          <w:lang w:val="en-GB"/>
        </w:rPr>
        <w:t>and</w:t>
      </w:r>
      <w:r w:rsidR="00950270">
        <w:rPr>
          <w:rFonts w:ascii="Times New Roman" w:hAnsi="Times New Roman"/>
          <w:b/>
          <w:bCs/>
          <w:sz w:val="24"/>
          <w:szCs w:val="24"/>
          <w:lang w:val="en-GB"/>
        </w:rPr>
        <w:t xml:space="preserve">, </w:t>
      </w:r>
      <w:r w:rsidR="0098121A" w:rsidRPr="00AC72BF">
        <w:rPr>
          <w:rFonts w:ascii="Times New Roman" w:hAnsi="Times New Roman"/>
          <w:b/>
          <w:bCs/>
          <w:sz w:val="24"/>
          <w:szCs w:val="24"/>
          <w:lang w:val="en-GB"/>
        </w:rPr>
        <w:t xml:space="preserve">or </w:t>
      </w:r>
      <w:r w:rsidR="00C652E4">
        <w:rPr>
          <w:rFonts w:ascii="Times New Roman" w:hAnsi="Times New Roman"/>
          <w:b/>
          <w:bCs/>
          <w:sz w:val="24"/>
          <w:szCs w:val="24"/>
          <w:lang w:val="en-GB"/>
        </w:rPr>
        <w:t>t</w:t>
      </w:r>
      <w:r w:rsidR="0098121A" w:rsidRPr="00AC72BF">
        <w:rPr>
          <w:rFonts w:ascii="Times New Roman" w:hAnsi="Times New Roman"/>
          <w:b/>
          <w:bCs/>
          <w:sz w:val="24"/>
          <w:szCs w:val="24"/>
          <w:lang w:val="en-GB"/>
        </w:rPr>
        <w:t>op 25% of the published papers. Selectively</w:t>
      </w:r>
      <w:r w:rsidR="00AA66A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w:t>
      </w:r>
      <w:r w:rsidR="004F44C2">
        <w:rPr>
          <w:rFonts w:ascii="Times New Roman" w:hAnsi="Times New Roman"/>
          <w:b/>
          <w:bCs/>
          <w:sz w:val="24"/>
          <w:szCs w:val="24"/>
          <w:lang w:val="en-GB"/>
        </w:rPr>
        <w:t>H-index</w:t>
      </w:r>
      <w:r w:rsidR="0098121A" w:rsidRPr="00AC72BF">
        <w:rPr>
          <w:rFonts w:ascii="Times New Roman" w:hAnsi="Times New Roman"/>
          <w:b/>
          <w:bCs/>
          <w:sz w:val="24"/>
          <w:szCs w:val="24"/>
          <w:lang w:val="en-GB"/>
        </w:rPr>
        <w:t xml:space="preserve"> and citations of  </w:t>
      </w:r>
      <w:r w:rsidR="006274B8">
        <w:rPr>
          <w:rFonts w:ascii="Times New Roman" w:hAnsi="Times New Roman"/>
          <w:b/>
          <w:bCs/>
          <w:sz w:val="24"/>
          <w:szCs w:val="24"/>
          <w:lang w:val="en-GB"/>
        </w:rPr>
        <w:t xml:space="preserve">the </w:t>
      </w:r>
      <w:r w:rsidR="0098121A" w:rsidRPr="00AC72BF">
        <w:rPr>
          <w:rFonts w:ascii="Times New Roman" w:hAnsi="Times New Roman"/>
          <w:b/>
          <w:bCs/>
          <w:sz w:val="24"/>
          <w:szCs w:val="24"/>
          <w:lang w:val="en-GB"/>
        </w:rPr>
        <w:t xml:space="preserve">main contributors/authors </w:t>
      </w:r>
      <w:r w:rsidR="006274B8">
        <w:rPr>
          <w:rFonts w:ascii="Times New Roman" w:hAnsi="Times New Roman"/>
          <w:b/>
          <w:bCs/>
          <w:sz w:val="24"/>
          <w:szCs w:val="24"/>
          <w:lang w:val="en-GB"/>
        </w:rPr>
        <w:t>were obtained</w:t>
      </w:r>
      <w:r w:rsidR="0098121A" w:rsidRPr="00AC72BF">
        <w:rPr>
          <w:rFonts w:ascii="Times New Roman" w:hAnsi="Times New Roman"/>
          <w:b/>
          <w:bCs/>
          <w:sz w:val="24"/>
          <w:szCs w:val="24"/>
          <w:lang w:val="en-GB"/>
        </w:rPr>
        <w:t xml:space="preserve"> from</w:t>
      </w:r>
      <w:r w:rsidR="006274B8">
        <w:rPr>
          <w:rFonts w:ascii="Times New Roman" w:hAnsi="Times New Roman"/>
          <w:b/>
          <w:bCs/>
          <w:sz w:val="24"/>
          <w:szCs w:val="24"/>
          <w:lang w:val="en-GB"/>
        </w:rPr>
        <w:t xml:space="preserve"> Web of Science (</w:t>
      </w:r>
      <w:r w:rsidR="0098121A" w:rsidRPr="00AC72BF">
        <w:rPr>
          <w:rFonts w:ascii="Times New Roman" w:hAnsi="Times New Roman"/>
          <w:b/>
          <w:bCs/>
          <w:sz w:val="24"/>
          <w:szCs w:val="24"/>
          <w:lang w:val="en-GB"/>
        </w:rPr>
        <w:t>WoS</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Two panel members </w:t>
      </w:r>
      <w:r w:rsidR="006274B8">
        <w:rPr>
          <w:rFonts w:ascii="Times New Roman" w:hAnsi="Times New Roman"/>
          <w:b/>
          <w:bCs/>
          <w:sz w:val="24"/>
          <w:szCs w:val="24"/>
          <w:lang w:val="en-GB"/>
        </w:rPr>
        <w:t>were</w:t>
      </w:r>
      <w:r w:rsidR="0098121A" w:rsidRPr="00AC72BF">
        <w:rPr>
          <w:rFonts w:ascii="Times New Roman" w:hAnsi="Times New Roman"/>
          <w:b/>
          <w:bCs/>
          <w:sz w:val="24"/>
          <w:szCs w:val="24"/>
          <w:lang w:val="en-GB"/>
        </w:rPr>
        <w:t xml:space="preserve"> allocated </w:t>
      </w:r>
      <w:r w:rsidR="006274B8">
        <w:rPr>
          <w:rFonts w:ascii="Times New Roman" w:hAnsi="Times New Roman"/>
          <w:b/>
          <w:bCs/>
          <w:sz w:val="24"/>
          <w:szCs w:val="24"/>
          <w:lang w:val="en-GB"/>
        </w:rPr>
        <w:t>according</w:t>
      </w:r>
      <w:r w:rsidR="0098121A" w:rsidRPr="00AC72BF">
        <w:rPr>
          <w:rFonts w:ascii="Times New Roman" w:hAnsi="Times New Roman"/>
          <w:b/>
          <w:bCs/>
          <w:sz w:val="24"/>
          <w:szCs w:val="24"/>
          <w:lang w:val="en-GB"/>
        </w:rPr>
        <w:t xml:space="preserve"> to </w:t>
      </w:r>
      <w:r w:rsidR="003672BA">
        <w:rPr>
          <w:rFonts w:ascii="Times New Roman" w:hAnsi="Times New Roman"/>
          <w:b/>
          <w:bCs/>
          <w:sz w:val="24"/>
          <w:szCs w:val="24"/>
          <w:lang w:val="en-GB"/>
        </w:rPr>
        <w:t xml:space="preserve">their field of expertise </w:t>
      </w:r>
      <w:r w:rsidR="006274B8">
        <w:rPr>
          <w:rFonts w:ascii="Times New Roman" w:hAnsi="Times New Roman"/>
          <w:b/>
          <w:bCs/>
          <w:sz w:val="24"/>
          <w:szCs w:val="24"/>
          <w:lang w:val="en-GB"/>
        </w:rPr>
        <w:t>for the majority of flagship subfields</w:t>
      </w:r>
      <w:r w:rsidR="0098121A" w:rsidRPr="00AC72BF">
        <w:rPr>
          <w:rFonts w:ascii="Times New Roman" w:hAnsi="Times New Roman"/>
          <w:b/>
          <w:bCs/>
          <w:sz w:val="24"/>
          <w:szCs w:val="24"/>
          <w:lang w:val="en-GB"/>
        </w:rPr>
        <w:t xml:space="preserve">. The individual reports follow </w:t>
      </w:r>
      <w:r w:rsidR="006274B8">
        <w:rPr>
          <w:rFonts w:ascii="Times New Roman" w:hAnsi="Times New Roman"/>
          <w:b/>
          <w:bCs/>
          <w:sz w:val="24"/>
          <w:szCs w:val="24"/>
          <w:lang w:val="en-GB"/>
        </w:rPr>
        <w:t xml:space="preserve">a </w:t>
      </w:r>
      <w:r w:rsidR="0098121A" w:rsidRPr="00AC72BF">
        <w:rPr>
          <w:rFonts w:ascii="Times New Roman" w:hAnsi="Times New Roman"/>
          <w:b/>
          <w:bCs/>
          <w:sz w:val="24"/>
          <w:szCs w:val="24"/>
          <w:lang w:val="en-GB"/>
        </w:rPr>
        <w:t>structured outline considering the CUNI authors</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(first, second, second last, last and corresponding authors) involvement</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 xml:space="preserve"> </w:t>
      </w:r>
      <w:r w:rsidR="006274B8">
        <w:rPr>
          <w:rFonts w:ascii="Times New Roman" w:hAnsi="Times New Roman"/>
          <w:b/>
          <w:bCs/>
          <w:sz w:val="24"/>
          <w:szCs w:val="24"/>
          <w:lang w:val="en-GB"/>
        </w:rPr>
        <w:t>particularly</w:t>
      </w:r>
      <w:r w:rsidR="0098121A" w:rsidRPr="00AC72BF">
        <w:rPr>
          <w:rFonts w:ascii="Times New Roman" w:hAnsi="Times New Roman"/>
          <w:b/>
          <w:bCs/>
          <w:sz w:val="24"/>
          <w:szCs w:val="24"/>
          <w:lang w:val="en-GB"/>
        </w:rPr>
        <w:t xml:space="preserve"> in large multicentre and</w:t>
      </w:r>
      <w:r w:rsidR="006274B8">
        <w:rPr>
          <w:rFonts w:ascii="Times New Roman" w:hAnsi="Times New Roman"/>
          <w:b/>
          <w:bCs/>
          <w:sz w:val="24"/>
          <w:szCs w:val="24"/>
          <w:lang w:val="en-GB"/>
        </w:rPr>
        <w:t>/</w:t>
      </w:r>
      <w:r w:rsidR="0098121A" w:rsidRPr="00AC72BF">
        <w:rPr>
          <w:rFonts w:ascii="Times New Roman" w:hAnsi="Times New Roman"/>
          <w:b/>
          <w:bCs/>
          <w:sz w:val="24"/>
          <w:szCs w:val="24"/>
          <w:lang w:val="en-GB"/>
        </w:rPr>
        <w:t>or international research project</w:t>
      </w:r>
      <w:r w:rsidR="006274B8">
        <w:rPr>
          <w:rFonts w:ascii="Times New Roman" w:hAnsi="Times New Roman"/>
          <w:b/>
          <w:bCs/>
          <w:sz w:val="24"/>
          <w:szCs w:val="24"/>
          <w:lang w:val="en-GB"/>
        </w:rPr>
        <w:t>s</w:t>
      </w:r>
      <w:r w:rsidR="0098121A" w:rsidRPr="00AC72BF">
        <w:rPr>
          <w:rFonts w:ascii="Times New Roman" w:hAnsi="Times New Roman"/>
          <w:b/>
          <w:bCs/>
          <w:sz w:val="24"/>
          <w:szCs w:val="24"/>
          <w:lang w:val="en-GB"/>
        </w:rPr>
        <w:t>.</w:t>
      </w:r>
      <w:r w:rsidR="00134EEB" w:rsidRPr="00AC72BF">
        <w:rPr>
          <w:rFonts w:ascii="Times New Roman" w:hAnsi="Times New Roman"/>
          <w:b/>
          <w:bCs/>
          <w:sz w:val="24"/>
          <w:szCs w:val="24"/>
          <w:lang w:val="en-GB"/>
        </w:rPr>
        <w:t xml:space="preserve"> To compare with </w:t>
      </w:r>
      <w:r w:rsidR="006274B8">
        <w:rPr>
          <w:rFonts w:ascii="Times New Roman" w:hAnsi="Times New Roman"/>
          <w:b/>
          <w:bCs/>
          <w:sz w:val="24"/>
          <w:szCs w:val="24"/>
          <w:lang w:val="en-GB"/>
        </w:rPr>
        <w:t>b</w:t>
      </w:r>
      <w:r w:rsidR="00134EEB" w:rsidRPr="00AC72BF">
        <w:rPr>
          <w:rFonts w:ascii="Times New Roman" w:hAnsi="Times New Roman"/>
          <w:b/>
          <w:bCs/>
          <w:sz w:val="24"/>
          <w:szCs w:val="24"/>
          <w:lang w:val="en-GB"/>
        </w:rPr>
        <w:t xml:space="preserve">enchmark </w:t>
      </w:r>
      <w:r w:rsidR="006274B8">
        <w:rPr>
          <w:rFonts w:ascii="Times New Roman" w:hAnsi="Times New Roman"/>
          <w:b/>
          <w:bCs/>
          <w:sz w:val="24"/>
          <w:szCs w:val="24"/>
          <w:lang w:val="en-GB"/>
        </w:rPr>
        <w:t>u</w:t>
      </w:r>
      <w:r w:rsidR="00134EEB" w:rsidRPr="00AC72BF">
        <w:rPr>
          <w:rFonts w:ascii="Times New Roman" w:hAnsi="Times New Roman"/>
          <w:b/>
          <w:bCs/>
          <w:sz w:val="24"/>
          <w:szCs w:val="24"/>
          <w:lang w:val="en-GB"/>
        </w:rPr>
        <w:t xml:space="preserve">niversities the WoS database </w:t>
      </w:r>
      <w:r w:rsidR="006274B8">
        <w:rPr>
          <w:rFonts w:ascii="Times New Roman" w:hAnsi="Times New Roman"/>
          <w:b/>
          <w:bCs/>
          <w:sz w:val="24"/>
          <w:szCs w:val="24"/>
          <w:lang w:val="en-GB"/>
        </w:rPr>
        <w:t>was</w:t>
      </w:r>
      <w:r w:rsidR="003E3CD3">
        <w:rPr>
          <w:rFonts w:ascii="Times New Roman" w:hAnsi="Times New Roman"/>
          <w:b/>
          <w:bCs/>
          <w:sz w:val="24"/>
          <w:szCs w:val="24"/>
          <w:lang w:val="en-GB"/>
        </w:rPr>
        <w:t xml:space="preserve"> applied</w:t>
      </w:r>
      <w:r w:rsidR="00DA2FF1">
        <w:rPr>
          <w:rFonts w:ascii="Times New Roman" w:hAnsi="Times New Roman"/>
          <w:b/>
          <w:bCs/>
          <w:sz w:val="24"/>
          <w:szCs w:val="24"/>
          <w:lang w:val="en-GB"/>
        </w:rPr>
        <w:t xml:space="preserve"> (Graphs)</w:t>
      </w:r>
      <w:r w:rsidR="00134EEB" w:rsidRPr="00AC72BF">
        <w:rPr>
          <w:rFonts w:ascii="Times New Roman" w:hAnsi="Times New Roman"/>
          <w:b/>
          <w:bCs/>
          <w:sz w:val="24"/>
          <w:szCs w:val="24"/>
          <w:lang w:val="en-GB"/>
        </w:rPr>
        <w:t>.</w:t>
      </w:r>
      <w:r w:rsidR="00DA2FF1">
        <w:rPr>
          <w:rFonts w:ascii="Times New Roman" w:hAnsi="Times New Roman"/>
          <w:b/>
          <w:bCs/>
          <w:sz w:val="24"/>
          <w:szCs w:val="24"/>
          <w:lang w:val="en-GB"/>
        </w:rPr>
        <w:t xml:space="preserve"> To switch from CUNI publication data by self assignement to WoS categories is confusing, however the only way to compare with benchmark Universities.</w:t>
      </w:r>
    </w:p>
    <w:tbl>
      <w:tblPr>
        <w:tblW w:w="20069" w:type="dxa"/>
        <w:tblInd w:w="93" w:type="dxa"/>
        <w:tblLook w:val="04A0" w:firstRow="1" w:lastRow="0" w:firstColumn="1" w:lastColumn="0" w:noHBand="0" w:noVBand="1"/>
      </w:tblPr>
      <w:tblGrid>
        <w:gridCol w:w="1312"/>
        <w:gridCol w:w="1311"/>
        <w:gridCol w:w="1311"/>
        <w:gridCol w:w="6815"/>
        <w:gridCol w:w="1300"/>
        <w:gridCol w:w="1093"/>
        <w:gridCol w:w="1093"/>
        <w:gridCol w:w="864"/>
        <w:gridCol w:w="1070"/>
        <w:gridCol w:w="1300"/>
        <w:gridCol w:w="1300"/>
        <w:gridCol w:w="1300"/>
      </w:tblGrid>
      <w:tr w:rsidR="0070080E" w:rsidRPr="00AC72BF" w14:paraId="3486DBBB" w14:textId="77777777" w:rsidTr="00447D4E">
        <w:trPr>
          <w:gridAfter w:val="8"/>
          <w:wAfter w:w="9320" w:type="dxa"/>
          <w:trHeight w:val="300"/>
        </w:trPr>
        <w:tc>
          <w:tcPr>
            <w:tcW w:w="10749" w:type="dxa"/>
            <w:gridSpan w:val="4"/>
            <w:tcBorders>
              <w:top w:val="nil"/>
              <w:left w:val="nil"/>
              <w:bottom w:val="nil"/>
              <w:right w:val="nil"/>
            </w:tcBorders>
            <w:shd w:val="clear" w:color="auto" w:fill="auto"/>
            <w:noWrap/>
            <w:vAlign w:val="bottom"/>
            <w:hideMark/>
          </w:tcPr>
          <w:p w14:paraId="00918AE1" w14:textId="1C4F6A68"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p w14:paraId="6A897899" w14:textId="77777777" w:rsidR="00440027" w:rsidRPr="00AC72BF" w:rsidRDefault="00440027" w:rsidP="003672BA">
            <w:pPr>
              <w:spacing w:after="0" w:line="240" w:lineRule="auto"/>
              <w:ind w:right="93"/>
              <w:rPr>
                <w:rFonts w:ascii="Times New Roman" w:eastAsia="Times New Roman" w:hAnsi="Times New Roman"/>
                <w:color w:val="000000"/>
                <w:sz w:val="24"/>
                <w:szCs w:val="24"/>
                <w:lang w:val="en-GB"/>
              </w:rPr>
            </w:pPr>
          </w:p>
          <w:p w14:paraId="04FB388D" w14:textId="55B97E2D" w:rsidR="006D1E14" w:rsidRDefault="00440027"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Cardio</w:t>
            </w:r>
            <w:r w:rsidR="006D1E14" w:rsidRPr="00AC72BF">
              <w:rPr>
                <w:rFonts w:ascii="Times New Roman" w:hAnsi="Times New Roman"/>
                <w:b/>
                <w:bCs/>
                <w:sz w:val="24"/>
                <w:szCs w:val="24"/>
                <w:lang w:val="en-GB"/>
              </w:rPr>
              <w:t>logy</w:t>
            </w:r>
          </w:p>
          <w:p w14:paraId="4F0B3544" w14:textId="0B4C6AB9" w:rsidR="00F15926" w:rsidRPr="00F15926" w:rsidRDefault="00EF4373" w:rsidP="000068F3">
            <w:pPr>
              <w:widowControl w:val="0"/>
              <w:spacing w:after="0"/>
              <w:ind w:left="360" w:right="-6"/>
              <w:rPr>
                <w:rFonts w:ascii="Times New Roman" w:hAnsi="Times New Roman"/>
                <w:sz w:val="24"/>
                <w:szCs w:val="24"/>
              </w:rPr>
            </w:pPr>
            <w:r w:rsidRPr="00EF4373">
              <w:rPr>
                <w:rFonts w:ascii="Times New Roman" w:hAnsi="Times New Roman"/>
                <w:sz w:val="24"/>
                <w:szCs w:val="24"/>
              </w:rPr>
              <w:t>A</w:t>
            </w:r>
            <w:r w:rsidRPr="00CB7B57">
              <w:rPr>
                <w:rFonts w:ascii="Times New Roman" w:hAnsi="Times New Roman"/>
                <w:sz w:val="24"/>
                <w:szCs w:val="24"/>
              </w:rPr>
              <w:t>s regards cardiolog</w:t>
            </w:r>
            <w:r w:rsidRPr="00EF4373">
              <w:rPr>
                <w:rFonts w:ascii="Times New Roman" w:hAnsi="Times New Roman"/>
                <w:sz w:val="24"/>
                <w:szCs w:val="24"/>
              </w:rPr>
              <w:t>y and cardiovascular surgery the</w:t>
            </w:r>
            <w:r w:rsidRPr="00CB7B57">
              <w:rPr>
                <w:rFonts w:ascii="Times New Roman" w:hAnsi="Times New Roman"/>
                <w:sz w:val="24"/>
                <w:szCs w:val="24"/>
              </w:rPr>
              <w:t xml:space="preserve"> evaluation is based on extensive interviews with the leaders of the relevant institutions</w:t>
            </w:r>
            <w:r w:rsidRPr="00EF4373">
              <w:rPr>
                <w:rFonts w:ascii="Times New Roman" w:hAnsi="Times New Roman"/>
                <w:sz w:val="24"/>
                <w:szCs w:val="24"/>
              </w:rPr>
              <w:t>;</w:t>
            </w:r>
            <w:r w:rsidRPr="00CB7B57">
              <w:rPr>
                <w:rFonts w:ascii="Times New Roman" w:hAnsi="Times New Roman"/>
                <w:sz w:val="24"/>
                <w:szCs w:val="24"/>
              </w:rPr>
              <w:t xml:space="preserve"> calculations of their h-index, assessement of their publication lists and  </w:t>
            </w:r>
            <w:r w:rsidRPr="003E5F2E">
              <w:rPr>
                <w:rFonts w:ascii="Times New Roman" w:hAnsi="Times New Roman"/>
                <w:sz w:val="24"/>
                <w:szCs w:val="24"/>
              </w:rPr>
              <w:t xml:space="preserve">the documents the panel member </w:t>
            </w:r>
            <w:r w:rsidRPr="00CB7B57">
              <w:rPr>
                <w:rFonts w:ascii="Times New Roman" w:hAnsi="Times New Roman"/>
                <w:sz w:val="24"/>
                <w:szCs w:val="24"/>
              </w:rPr>
              <w:t xml:space="preserve">had at hand, particularly the analysis of scientific publications provided by the institution. </w:t>
            </w:r>
            <w:r w:rsidR="00F15926" w:rsidRPr="00F15926">
              <w:rPr>
                <w:rFonts w:ascii="Times New Roman" w:hAnsi="Times New Roman"/>
                <w:sz w:val="24"/>
                <w:szCs w:val="24"/>
              </w:rPr>
              <w:t>Each of the five medical faculties of Charles University are associated with a large hospital, although the faculty and hospitals are legally two different institutions. Thus, a lot of research, is not only done under the umbrella of the medical faculties or the University, respectively, but also at the University hospitals and in some cases also affiliated hospitals, such as the Thomayer Hospital in Prague.</w:t>
            </w:r>
          </w:p>
          <w:p w14:paraId="7C0750A2" w14:textId="77777777" w:rsidR="00F15926" w:rsidRPr="00F15926" w:rsidRDefault="00F15926" w:rsidP="000068F3">
            <w:pPr>
              <w:widowControl w:val="0"/>
              <w:spacing w:after="0"/>
              <w:ind w:left="360" w:right="-6"/>
              <w:rPr>
                <w:rFonts w:ascii="Times New Roman" w:hAnsi="Times New Roman"/>
                <w:sz w:val="24"/>
                <w:szCs w:val="24"/>
              </w:rPr>
            </w:pPr>
          </w:p>
          <w:p w14:paraId="3FAD5C60" w14:textId="5AE5A83C" w:rsidR="00F15926" w:rsidRPr="00F15926" w:rsidRDefault="00F15926" w:rsidP="000068F3">
            <w:pPr>
              <w:widowControl w:val="0"/>
              <w:spacing w:after="0"/>
              <w:ind w:left="360" w:right="-6"/>
              <w:rPr>
                <w:rFonts w:ascii="Times New Roman" w:hAnsi="Times New Roman"/>
                <w:sz w:val="24"/>
                <w:szCs w:val="24"/>
              </w:rPr>
            </w:pPr>
            <w:r w:rsidRPr="00F15926">
              <w:rPr>
                <w:rFonts w:ascii="Times New Roman" w:hAnsi="Times New Roman"/>
                <w:sz w:val="24"/>
                <w:szCs w:val="24"/>
              </w:rPr>
              <w:t xml:space="preserve">Each of these hospitals </w:t>
            </w:r>
            <w:r w:rsidR="006274B8">
              <w:rPr>
                <w:rFonts w:ascii="Times New Roman" w:hAnsi="Times New Roman"/>
                <w:sz w:val="24"/>
                <w:szCs w:val="24"/>
              </w:rPr>
              <w:t>has active</w:t>
            </w:r>
            <w:r w:rsidRPr="00F15926">
              <w:rPr>
                <w:rFonts w:ascii="Times New Roman" w:hAnsi="Times New Roman"/>
                <w:sz w:val="24"/>
                <w:szCs w:val="24"/>
              </w:rPr>
              <w:t xml:space="preserve"> cardiovascular services, including most diagnostic examinations and </w:t>
            </w:r>
            <w:r w:rsidRPr="00F15926">
              <w:rPr>
                <w:rFonts w:ascii="Times New Roman" w:hAnsi="Times New Roman"/>
                <w:sz w:val="24"/>
                <w:szCs w:val="24"/>
              </w:rPr>
              <w:lastRenderedPageBreak/>
              <w:t>interventions of cardiology and cardiovascular surgery</w:t>
            </w:r>
            <w:r w:rsidR="006274B8">
              <w:rPr>
                <w:rFonts w:ascii="Times New Roman" w:hAnsi="Times New Roman"/>
                <w:sz w:val="24"/>
                <w:szCs w:val="24"/>
              </w:rPr>
              <w:t>,</w:t>
            </w:r>
            <w:r w:rsidRPr="00F15926">
              <w:rPr>
                <w:rFonts w:ascii="Times New Roman" w:hAnsi="Times New Roman"/>
                <w:sz w:val="24"/>
                <w:szCs w:val="24"/>
              </w:rPr>
              <w:t xml:space="preserve"> with some differencesdiscussed below.</w:t>
            </w:r>
          </w:p>
          <w:p w14:paraId="78BD9CB9" w14:textId="77777777" w:rsidR="00F15926" w:rsidRPr="00F15926" w:rsidRDefault="00F15926" w:rsidP="000068F3">
            <w:pPr>
              <w:widowControl w:val="0"/>
              <w:spacing w:after="0"/>
              <w:ind w:left="360" w:right="-6"/>
              <w:rPr>
                <w:rFonts w:ascii="Times New Roman" w:hAnsi="Times New Roman"/>
                <w:sz w:val="24"/>
                <w:szCs w:val="24"/>
              </w:rPr>
            </w:pPr>
          </w:p>
          <w:p w14:paraId="1D325AD9" w14:textId="0374C552" w:rsidR="00F15926" w:rsidRPr="00F15926" w:rsidRDefault="00F15926" w:rsidP="000068F3">
            <w:pPr>
              <w:widowControl w:val="0"/>
              <w:spacing w:after="0"/>
              <w:ind w:left="360" w:right="-6"/>
              <w:rPr>
                <w:rFonts w:ascii="Times New Roman" w:hAnsi="Times New Roman"/>
                <w:sz w:val="24"/>
                <w:szCs w:val="24"/>
              </w:rPr>
            </w:pPr>
            <w:r w:rsidRPr="00F15926">
              <w:rPr>
                <w:rFonts w:ascii="Times New Roman" w:hAnsi="Times New Roman"/>
                <w:sz w:val="24"/>
                <w:szCs w:val="24"/>
              </w:rPr>
              <w:t>In addition, there is an important clinical and research institution in Prague</w:t>
            </w:r>
            <w:r w:rsidR="006274B8">
              <w:rPr>
                <w:rFonts w:ascii="Times New Roman" w:hAnsi="Times New Roman"/>
                <w:sz w:val="24"/>
                <w:szCs w:val="24"/>
              </w:rPr>
              <w:t xml:space="preserve">, </w:t>
            </w:r>
            <w:r w:rsidR="006274B8" w:rsidRPr="00F15926">
              <w:rPr>
                <w:rFonts w:ascii="Times New Roman" w:hAnsi="Times New Roman"/>
                <w:sz w:val="24"/>
                <w:szCs w:val="24"/>
              </w:rPr>
              <w:t xml:space="preserve">the </w:t>
            </w:r>
            <w:r w:rsidR="006274B8" w:rsidRPr="00F15926">
              <w:rPr>
                <w:rFonts w:ascii="Times New Roman" w:hAnsi="Times New Roman"/>
                <w:i/>
                <w:iCs/>
                <w:sz w:val="24"/>
                <w:szCs w:val="24"/>
              </w:rPr>
              <w:t>Institute for Clinical and Experimental Medicine</w:t>
            </w:r>
            <w:r w:rsidR="006274B8" w:rsidRPr="00F15926">
              <w:rPr>
                <w:rFonts w:ascii="Times New Roman" w:hAnsi="Times New Roman"/>
                <w:sz w:val="24"/>
                <w:szCs w:val="24"/>
              </w:rPr>
              <w:t xml:space="preserve"> (ICEM), </w:t>
            </w:r>
            <w:r w:rsidR="006274B8">
              <w:rPr>
                <w:rFonts w:ascii="Times New Roman" w:hAnsi="Times New Roman"/>
                <w:sz w:val="24"/>
                <w:szCs w:val="24"/>
              </w:rPr>
              <w:t>which</w:t>
            </w:r>
            <w:r w:rsidRPr="00F15926">
              <w:rPr>
                <w:rFonts w:ascii="Times New Roman" w:hAnsi="Times New Roman"/>
                <w:sz w:val="24"/>
                <w:szCs w:val="24"/>
              </w:rPr>
              <w:t xml:space="preserve"> is not associated with Charles University, where cardiology and cardiovascular surgery is also provided at the highest level</w:t>
            </w:r>
            <w:r w:rsidR="006274B8">
              <w:rPr>
                <w:rFonts w:ascii="Times New Roman" w:hAnsi="Times New Roman"/>
                <w:sz w:val="24"/>
                <w:szCs w:val="24"/>
              </w:rPr>
              <w:t xml:space="preserve">. This insitution </w:t>
            </w:r>
            <w:r w:rsidRPr="00F15926">
              <w:rPr>
                <w:rFonts w:ascii="Times New Roman" w:hAnsi="Times New Roman"/>
                <w:sz w:val="24"/>
                <w:szCs w:val="24"/>
              </w:rPr>
              <w:t xml:space="preserve"> is directly affiliated with the Ministry of Health and is particularly strong in the management of arrhythmias (Prof. Josef Kautzner) and </w:t>
            </w:r>
            <w:r w:rsidR="00B45398">
              <w:rPr>
                <w:rFonts w:ascii="Times New Roman" w:hAnsi="Times New Roman"/>
                <w:sz w:val="24"/>
                <w:szCs w:val="24"/>
              </w:rPr>
              <w:t xml:space="preserve">is </w:t>
            </w:r>
            <w:r w:rsidRPr="00F15926">
              <w:rPr>
                <w:rFonts w:ascii="Times New Roman" w:hAnsi="Times New Roman"/>
                <w:sz w:val="24"/>
                <w:szCs w:val="24"/>
              </w:rPr>
              <w:t xml:space="preserve">a </w:t>
            </w:r>
            <w:r w:rsidR="00B45398">
              <w:rPr>
                <w:rFonts w:ascii="Times New Roman" w:hAnsi="Times New Roman"/>
                <w:sz w:val="24"/>
                <w:szCs w:val="24"/>
              </w:rPr>
              <w:t>n</w:t>
            </w:r>
            <w:r w:rsidRPr="00F15926">
              <w:rPr>
                <w:rFonts w:ascii="Times New Roman" w:hAnsi="Times New Roman"/>
                <w:sz w:val="24"/>
                <w:szCs w:val="24"/>
              </w:rPr>
              <w:t xml:space="preserve">ational </w:t>
            </w:r>
            <w:r w:rsidR="00B45398">
              <w:rPr>
                <w:rFonts w:ascii="Times New Roman" w:hAnsi="Times New Roman"/>
                <w:sz w:val="24"/>
                <w:szCs w:val="24"/>
              </w:rPr>
              <w:t>c</w:t>
            </w:r>
            <w:r w:rsidRPr="00F15926">
              <w:rPr>
                <w:rFonts w:ascii="Times New Roman" w:hAnsi="Times New Roman"/>
                <w:sz w:val="24"/>
                <w:szCs w:val="24"/>
              </w:rPr>
              <w:t>enter for cardiac transplantation (together with Brno University).</w:t>
            </w:r>
          </w:p>
          <w:p w14:paraId="519DB95D" w14:textId="77777777" w:rsidR="00587F53" w:rsidRPr="00F15926" w:rsidRDefault="00587F53" w:rsidP="000068F3">
            <w:pPr>
              <w:pStyle w:val="Odstavecseseznamem"/>
              <w:spacing w:after="0" w:line="360" w:lineRule="auto"/>
              <w:ind w:left="360" w:right="-6"/>
              <w:rPr>
                <w:rFonts w:ascii="Times New Roman" w:hAnsi="Times New Roman"/>
                <w:b/>
                <w:bCs/>
                <w:sz w:val="24"/>
                <w:szCs w:val="24"/>
                <w:lang w:val="en-GB"/>
              </w:rPr>
            </w:pPr>
          </w:p>
          <w:p w14:paraId="32CB632B" w14:textId="49E1C743" w:rsidR="00F15926" w:rsidRPr="00F15926" w:rsidRDefault="00F15926" w:rsidP="000068F3">
            <w:pPr>
              <w:pStyle w:val="Odstavecseseznamem"/>
              <w:widowControl w:val="0"/>
              <w:spacing w:after="0"/>
              <w:ind w:left="360" w:right="-6"/>
              <w:rPr>
                <w:rFonts w:ascii="Times New Roman" w:hAnsi="Times New Roman"/>
                <w:sz w:val="24"/>
                <w:szCs w:val="24"/>
              </w:rPr>
            </w:pPr>
            <w:r w:rsidRPr="00F15926">
              <w:rPr>
                <w:rFonts w:ascii="Times New Roman" w:hAnsi="Times New Roman"/>
                <w:b/>
                <w:bCs/>
                <w:sz w:val="24"/>
                <w:szCs w:val="24"/>
              </w:rPr>
              <w:t>PhD Programs:</w:t>
            </w:r>
            <w:r w:rsidRPr="00F15926">
              <w:rPr>
                <w:rFonts w:ascii="Times New Roman" w:hAnsi="Times New Roman"/>
                <w:sz w:val="24"/>
                <w:szCs w:val="24"/>
              </w:rPr>
              <w:t xml:space="preserve"> PhD students are essential for scientific productivity of academic institutions</w:t>
            </w:r>
            <w:r w:rsidR="00B45398">
              <w:rPr>
                <w:rFonts w:ascii="Times New Roman" w:hAnsi="Times New Roman"/>
                <w:sz w:val="24"/>
                <w:szCs w:val="24"/>
              </w:rPr>
              <w:t>,</w:t>
            </w:r>
            <w:r w:rsidRPr="00F15926">
              <w:rPr>
                <w:rFonts w:ascii="Times New Roman" w:hAnsi="Times New Roman"/>
                <w:sz w:val="24"/>
                <w:szCs w:val="24"/>
              </w:rPr>
              <w:t xml:space="preserve"> and Charles University does offer PhD programs.</w:t>
            </w:r>
            <w:r w:rsidRPr="00F15926">
              <w:rPr>
                <w:rFonts w:ascii="Times New Roman" w:hAnsi="Times New Roman"/>
                <w:b/>
                <w:bCs/>
                <w:sz w:val="24"/>
                <w:szCs w:val="24"/>
              </w:rPr>
              <w:t xml:space="preserve"> </w:t>
            </w:r>
            <w:r w:rsidRPr="00F15926">
              <w:rPr>
                <w:rFonts w:ascii="Times New Roman" w:hAnsi="Times New Roman"/>
                <w:sz w:val="24"/>
                <w:szCs w:val="24"/>
              </w:rPr>
              <w:t xml:space="preserve">Of note, the Dean of the 3rd Faculty of Medicine, Prof. Petr Widimský is the coordinator of the </w:t>
            </w:r>
            <w:r w:rsidRPr="00F15926">
              <w:rPr>
                <w:rFonts w:ascii="Times New Roman" w:hAnsi="Times New Roman"/>
                <w:i/>
                <w:iCs/>
                <w:sz w:val="24"/>
                <w:szCs w:val="24"/>
              </w:rPr>
              <w:t>Charles University Cardiovascular Research Program</w:t>
            </w:r>
            <w:r w:rsidRPr="00F15926">
              <w:rPr>
                <w:rFonts w:ascii="Times New Roman" w:hAnsi="Times New Roman"/>
                <w:sz w:val="24"/>
                <w:szCs w:val="24"/>
              </w:rPr>
              <w:t xml:space="preserve"> - </w:t>
            </w:r>
            <w:r w:rsidRPr="00F15926">
              <w:rPr>
                <w:rFonts w:ascii="Times New Roman" w:hAnsi="Times New Roman"/>
                <w:i/>
                <w:iCs/>
                <w:sz w:val="24"/>
                <w:szCs w:val="24"/>
              </w:rPr>
              <w:t>Progress Q38</w:t>
            </w:r>
            <w:r w:rsidRPr="00F15926">
              <w:rPr>
                <w:rFonts w:ascii="Times New Roman" w:hAnsi="Times New Roman"/>
                <w:sz w:val="24"/>
                <w:szCs w:val="24"/>
              </w:rPr>
              <w:t xml:space="preserve"> which started in 2016 and </w:t>
            </w:r>
            <w:r w:rsidR="00B45398">
              <w:rPr>
                <w:rFonts w:ascii="Times New Roman" w:hAnsi="Times New Roman"/>
                <w:sz w:val="24"/>
                <w:szCs w:val="24"/>
              </w:rPr>
              <w:t>is funded through</w:t>
            </w:r>
            <w:r w:rsidRPr="00F15926">
              <w:rPr>
                <w:rFonts w:ascii="Times New Roman" w:hAnsi="Times New Roman"/>
                <w:sz w:val="24"/>
                <w:szCs w:val="24"/>
              </w:rPr>
              <w:t xml:space="preserve"> 2021. The </w:t>
            </w:r>
            <w:r w:rsidRPr="00F15926">
              <w:rPr>
                <w:rFonts w:ascii="Times New Roman" w:hAnsi="Times New Roman"/>
                <w:i/>
                <w:iCs/>
                <w:sz w:val="24"/>
                <w:szCs w:val="24"/>
              </w:rPr>
              <w:t>Cardiovascular Re-search Program</w:t>
            </w:r>
            <w:r w:rsidRPr="00F15926">
              <w:rPr>
                <w:rFonts w:ascii="Times New Roman" w:hAnsi="Times New Roman"/>
                <w:sz w:val="24"/>
                <w:szCs w:val="24"/>
              </w:rPr>
              <w:t xml:space="preserve"> is a 4-year program, currently involving 12 PhD students receiving quite a small salary (around 700 Euros). The new cycle starts in 2020 with 16 students. The program is open for PhD students involved in clinical research, epidemiology or basic cardiovascular research. Quite often, these candidates have part-time appointments with hospitals or Charles University to cover their living expenses. An improvement of this situation would be truly desirable.</w:t>
            </w:r>
          </w:p>
          <w:p w14:paraId="3FA82550" w14:textId="77777777" w:rsidR="00F15926" w:rsidRPr="00F15926" w:rsidRDefault="00F15926" w:rsidP="000068F3">
            <w:pPr>
              <w:pStyle w:val="Odstavecseseznamem"/>
              <w:widowControl w:val="0"/>
              <w:spacing w:after="0"/>
              <w:ind w:left="360" w:right="-6"/>
              <w:rPr>
                <w:rFonts w:ascii="Times New Roman" w:hAnsi="Times New Roman"/>
                <w:b/>
                <w:bCs/>
                <w:sz w:val="24"/>
                <w:szCs w:val="24"/>
              </w:rPr>
            </w:pPr>
          </w:p>
          <w:p w14:paraId="30AC4CD9" w14:textId="5A3B9AE4" w:rsidR="00F15926" w:rsidRPr="00F15926" w:rsidRDefault="00F15926" w:rsidP="000068F3">
            <w:pPr>
              <w:pStyle w:val="Odstavecseseznamem"/>
              <w:ind w:left="360" w:right="-6"/>
              <w:rPr>
                <w:rFonts w:ascii="Times New Roman" w:hAnsi="Times New Roman"/>
                <w:sz w:val="24"/>
                <w:szCs w:val="24"/>
              </w:rPr>
            </w:pPr>
            <w:r w:rsidRPr="00F15926">
              <w:rPr>
                <w:rFonts w:ascii="Times New Roman" w:hAnsi="Times New Roman"/>
                <w:sz w:val="24"/>
                <w:szCs w:val="24"/>
              </w:rPr>
              <w:t xml:space="preserve">This program is very promising indeed and </w:t>
            </w:r>
            <w:r w:rsidR="00B45398">
              <w:rPr>
                <w:rFonts w:ascii="Times New Roman" w:hAnsi="Times New Roman"/>
                <w:sz w:val="24"/>
                <w:szCs w:val="24"/>
              </w:rPr>
              <w:t>appreciated</w:t>
            </w:r>
            <w:r w:rsidR="00B45398" w:rsidRPr="00F15926">
              <w:rPr>
                <w:rFonts w:ascii="Times New Roman" w:hAnsi="Times New Roman"/>
                <w:sz w:val="24"/>
                <w:szCs w:val="24"/>
              </w:rPr>
              <w:t xml:space="preserve"> </w:t>
            </w:r>
            <w:r w:rsidRPr="00F15926">
              <w:rPr>
                <w:rFonts w:ascii="Times New Roman" w:hAnsi="Times New Roman"/>
                <w:sz w:val="24"/>
                <w:szCs w:val="24"/>
              </w:rPr>
              <w:t xml:space="preserve">by the reviewers. However, the funding is far from optimal and should be reconsidered and improved in the future. Indeed, a full-time commitment for the PhD program </w:t>
            </w:r>
            <w:r w:rsidR="00B45398">
              <w:rPr>
                <w:rFonts w:ascii="Times New Roman" w:hAnsi="Times New Roman"/>
                <w:sz w:val="24"/>
                <w:szCs w:val="24"/>
              </w:rPr>
              <w:t xml:space="preserve">would </w:t>
            </w:r>
            <w:r w:rsidRPr="00F15926">
              <w:rPr>
                <w:rFonts w:ascii="Times New Roman" w:hAnsi="Times New Roman"/>
                <w:sz w:val="24"/>
                <w:szCs w:val="24"/>
              </w:rPr>
              <w:t xml:space="preserve">certainly strengthen the academic productivity of the candidates. </w:t>
            </w:r>
            <w:r w:rsidRPr="00F15926">
              <w:rPr>
                <w:rFonts w:ascii="Times New Roman" w:hAnsi="Times New Roman"/>
                <w:sz w:val="24"/>
                <w:szCs w:val="24"/>
              </w:rPr>
              <w:tab/>
            </w:r>
          </w:p>
          <w:p w14:paraId="4A868B23" w14:textId="77777777" w:rsidR="00F15926" w:rsidRPr="00F15926" w:rsidRDefault="00F15926" w:rsidP="000068F3">
            <w:pPr>
              <w:pStyle w:val="Odstavecseseznamem"/>
              <w:spacing w:after="160"/>
              <w:ind w:left="360" w:right="-6"/>
              <w:rPr>
                <w:rFonts w:ascii="Times New Roman" w:hAnsi="Times New Roman"/>
                <w:b/>
                <w:bCs/>
                <w:sz w:val="24"/>
                <w:szCs w:val="24"/>
              </w:rPr>
            </w:pPr>
          </w:p>
          <w:p w14:paraId="54AED907" w14:textId="77777777" w:rsidR="00F15926" w:rsidRPr="00F15926" w:rsidRDefault="00F15926" w:rsidP="000068F3">
            <w:pPr>
              <w:pStyle w:val="Odstavecseseznamem"/>
              <w:ind w:left="360" w:right="-6"/>
              <w:rPr>
                <w:rFonts w:ascii="Times New Roman" w:hAnsi="Times New Roman"/>
                <w:sz w:val="24"/>
                <w:szCs w:val="24"/>
              </w:rPr>
            </w:pPr>
          </w:p>
          <w:p w14:paraId="52C8C87E" w14:textId="1952535B" w:rsidR="00F15926" w:rsidRPr="00F15926" w:rsidRDefault="00F15926" w:rsidP="000068F3">
            <w:pPr>
              <w:pStyle w:val="Odstavecseseznamem"/>
              <w:spacing w:after="160"/>
              <w:ind w:right="-6"/>
              <w:rPr>
                <w:rFonts w:ascii="Times New Roman" w:hAnsi="Times New Roman"/>
                <w:sz w:val="24"/>
                <w:szCs w:val="24"/>
              </w:rPr>
            </w:pPr>
            <w:r w:rsidRPr="00F15926">
              <w:rPr>
                <w:rFonts w:ascii="Times New Roman" w:hAnsi="Times New Roman"/>
                <w:b/>
                <w:bCs/>
                <w:sz w:val="24"/>
                <w:szCs w:val="24"/>
              </w:rPr>
              <w:t>1</w:t>
            </w:r>
            <w:r w:rsidRPr="00F15926">
              <w:rPr>
                <w:rFonts w:ascii="Times New Roman" w:hAnsi="Times New Roman"/>
                <w:b/>
                <w:bCs/>
                <w:sz w:val="24"/>
                <w:szCs w:val="24"/>
                <w:vertAlign w:val="superscript"/>
              </w:rPr>
              <w:t>st</w:t>
            </w:r>
            <w:r w:rsidRPr="00F15926">
              <w:rPr>
                <w:rFonts w:ascii="Times New Roman" w:hAnsi="Times New Roman"/>
                <w:b/>
                <w:bCs/>
                <w:sz w:val="24"/>
                <w:szCs w:val="24"/>
              </w:rPr>
              <w:t xml:space="preserve"> LF – First Medical Faculty (https://lfp.cuni.cz):</w:t>
            </w:r>
            <w:r w:rsidRPr="00F15926">
              <w:rPr>
                <w:rFonts w:ascii="Times New Roman" w:hAnsi="Times New Roman"/>
                <w:sz w:val="24"/>
                <w:szCs w:val="24"/>
              </w:rPr>
              <w:t xml:space="preserve"> Cardiovascular research is rather active in the First Medical Faculty and takes place in the </w:t>
            </w:r>
            <w:r w:rsidRPr="00F15926">
              <w:rPr>
                <w:rFonts w:ascii="Times New Roman" w:hAnsi="Times New Roman"/>
                <w:b/>
                <w:bCs/>
                <w:sz w:val="24"/>
                <w:szCs w:val="24"/>
              </w:rPr>
              <w:t>2</w:t>
            </w:r>
            <w:r w:rsidRPr="00F15926">
              <w:rPr>
                <w:rFonts w:ascii="Times New Roman" w:hAnsi="Times New Roman"/>
                <w:b/>
                <w:bCs/>
                <w:sz w:val="24"/>
                <w:szCs w:val="24"/>
                <w:vertAlign w:val="superscript"/>
              </w:rPr>
              <w:t>nd</w:t>
            </w:r>
            <w:r w:rsidRPr="00F15926">
              <w:rPr>
                <w:rFonts w:ascii="Times New Roman" w:hAnsi="Times New Roman"/>
                <w:b/>
                <w:bCs/>
                <w:sz w:val="24"/>
                <w:szCs w:val="24"/>
              </w:rPr>
              <w:t xml:space="preserve"> Department of Internal Medicine/ Cardiology</w:t>
            </w:r>
            <w:r w:rsidRPr="00F15926">
              <w:rPr>
                <w:rFonts w:ascii="Times New Roman" w:hAnsi="Times New Roman"/>
                <w:sz w:val="24"/>
                <w:szCs w:val="24"/>
              </w:rPr>
              <w:t xml:space="preserve">, led by Prof. Ales Linhart, currently president of the </w:t>
            </w:r>
            <w:r w:rsidRPr="00F15926">
              <w:rPr>
                <w:rFonts w:ascii="Times New Roman" w:hAnsi="Times New Roman"/>
                <w:i/>
                <w:iCs/>
                <w:sz w:val="24"/>
                <w:szCs w:val="24"/>
              </w:rPr>
              <w:t>Czech Society of Cardiology</w:t>
            </w:r>
            <w:r w:rsidRPr="00F15926">
              <w:rPr>
                <w:rFonts w:ascii="Times New Roman" w:hAnsi="Times New Roman"/>
                <w:sz w:val="24"/>
                <w:szCs w:val="24"/>
              </w:rPr>
              <w:t xml:space="preserve">. The department has </w:t>
            </w:r>
            <w:r w:rsidR="00B45398">
              <w:rPr>
                <w:rFonts w:ascii="Times New Roman" w:hAnsi="Times New Roman"/>
                <w:sz w:val="24"/>
                <w:szCs w:val="24"/>
              </w:rPr>
              <w:t>approximately</w:t>
            </w:r>
            <w:r w:rsidR="00B45398" w:rsidRPr="00F15926">
              <w:rPr>
                <w:rFonts w:ascii="Times New Roman" w:hAnsi="Times New Roman"/>
                <w:sz w:val="24"/>
                <w:szCs w:val="24"/>
              </w:rPr>
              <w:t xml:space="preserve"> </w:t>
            </w:r>
            <w:r w:rsidRPr="00F15926">
              <w:rPr>
                <w:rFonts w:ascii="Times New Roman" w:hAnsi="Times New Roman"/>
                <w:sz w:val="24"/>
                <w:szCs w:val="24"/>
              </w:rPr>
              <w:t>60 physicians and 3 full professors of cardiology, covering different specialties.</w:t>
            </w:r>
            <w:r w:rsidRPr="00F15926">
              <w:rPr>
                <w:rFonts w:ascii="Times New Roman" w:hAnsi="Times New Roman"/>
                <w:sz w:val="24"/>
                <w:szCs w:val="24"/>
              </w:rPr>
              <w:br/>
            </w:r>
            <w:r w:rsidRPr="00F15926">
              <w:rPr>
                <w:rFonts w:ascii="Times New Roman" w:hAnsi="Times New Roman"/>
                <w:sz w:val="24"/>
                <w:szCs w:val="24"/>
              </w:rPr>
              <w:br/>
            </w:r>
            <w:r w:rsidRPr="00F15926">
              <w:rPr>
                <w:rFonts w:ascii="Times New Roman" w:hAnsi="Times New Roman"/>
                <w:sz w:val="24"/>
                <w:szCs w:val="24"/>
              </w:rPr>
              <w:lastRenderedPageBreak/>
              <w:t xml:space="preserve">The </w:t>
            </w:r>
            <w:r w:rsidRPr="00F15926">
              <w:rPr>
                <w:rFonts w:ascii="Times New Roman" w:hAnsi="Times New Roman"/>
                <w:b/>
                <w:bCs/>
                <w:sz w:val="24"/>
                <w:szCs w:val="24"/>
              </w:rPr>
              <w:t>clinical service</w:t>
            </w:r>
            <w:r w:rsidRPr="00F15926">
              <w:rPr>
                <w:rFonts w:ascii="Times New Roman" w:hAnsi="Times New Roman"/>
                <w:sz w:val="24"/>
                <w:szCs w:val="24"/>
              </w:rPr>
              <w:t xml:space="preserve"> of the department has 2 cardiac catherization laboratories at its disposal and offers all diagnostic and therapeutic interventions for cardiology except cardiac transplantation</w:t>
            </w:r>
            <w:r w:rsidR="00B45398">
              <w:rPr>
                <w:rFonts w:ascii="Times New Roman" w:hAnsi="Times New Roman"/>
                <w:sz w:val="24"/>
                <w:szCs w:val="24"/>
              </w:rPr>
              <w:t>, which is</w:t>
            </w:r>
            <w:r w:rsidRPr="00F15926">
              <w:rPr>
                <w:rFonts w:ascii="Times New Roman" w:hAnsi="Times New Roman"/>
                <w:sz w:val="24"/>
                <w:szCs w:val="24"/>
              </w:rPr>
              <w:t xml:space="preserve"> only performed in the Czech Republic at ICEM in Prague (see above) and the University Hospital in Brno. </w:t>
            </w:r>
          </w:p>
          <w:p w14:paraId="7BC079A3" w14:textId="77777777" w:rsidR="00F15926" w:rsidRDefault="00F15926" w:rsidP="003672BA">
            <w:pPr>
              <w:pStyle w:val="Odstavecseseznamem"/>
              <w:ind w:right="93"/>
              <w:rPr>
                <w:rFonts w:ascii="Times New Roman" w:hAnsi="Times New Roman"/>
                <w:sz w:val="24"/>
                <w:szCs w:val="24"/>
              </w:rPr>
            </w:pPr>
          </w:p>
          <w:p w14:paraId="285D3CCE" w14:textId="77777777" w:rsidR="00526BD4" w:rsidRPr="0063716F" w:rsidRDefault="00526BD4" w:rsidP="003672BA">
            <w:pPr>
              <w:pStyle w:val="Odstavecseseznamem"/>
              <w:ind w:right="93"/>
              <w:jc w:val="both"/>
              <w:rPr>
                <w:rFonts w:ascii="Arial" w:hAnsi="Arial" w:cs="Arial"/>
                <w:sz w:val="20"/>
                <w:szCs w:val="20"/>
              </w:rPr>
            </w:pPr>
            <w:r w:rsidRPr="0063716F">
              <w:rPr>
                <w:rFonts w:ascii="Arial" w:hAnsi="Arial" w:cs="Arial"/>
                <w:noProof/>
                <w:sz w:val="20"/>
                <w:szCs w:val="20"/>
                <w:lang w:eastAsia="cs-CZ"/>
              </w:rPr>
              <w:drawing>
                <wp:inline distT="0" distB="0" distL="0" distR="0" wp14:anchorId="417CB6A8" wp14:editId="68783534">
                  <wp:extent cx="4313729" cy="3475931"/>
                  <wp:effectExtent l="0" t="0" r="4445" b="4445"/>
                  <wp:docPr id="27" name="Grafik 2"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esLinh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9943" cy="3488996"/>
                          </a:xfrm>
                          <a:prstGeom prst="rect">
                            <a:avLst/>
                          </a:prstGeom>
                        </pic:spPr>
                      </pic:pic>
                    </a:graphicData>
                  </a:graphic>
                </wp:inline>
              </w:drawing>
            </w:r>
          </w:p>
          <w:p w14:paraId="1BF28248" w14:textId="77777777" w:rsidR="00526BD4" w:rsidRDefault="00526BD4" w:rsidP="003672BA">
            <w:pPr>
              <w:pStyle w:val="Odstavecseseznamem"/>
              <w:ind w:right="93"/>
              <w:jc w:val="both"/>
              <w:rPr>
                <w:rFonts w:ascii="Arial" w:hAnsi="Arial" w:cs="Arial"/>
                <w:sz w:val="20"/>
                <w:szCs w:val="20"/>
              </w:rPr>
            </w:pPr>
            <w:r w:rsidRPr="0063716F">
              <w:rPr>
                <w:rFonts w:ascii="Arial" w:hAnsi="Arial" w:cs="Arial"/>
                <w:b/>
                <w:bCs/>
                <w:sz w:val="20"/>
                <w:szCs w:val="20"/>
              </w:rPr>
              <w:t>Figure  1</w:t>
            </w:r>
            <w:r w:rsidRPr="0063716F">
              <w:rPr>
                <w:rFonts w:ascii="Arial" w:hAnsi="Arial" w:cs="Arial"/>
                <w:sz w:val="20"/>
                <w:szCs w:val="20"/>
              </w:rPr>
              <w:t>: Bibliometric data of professor Ales Linhart</w:t>
            </w:r>
          </w:p>
          <w:p w14:paraId="47126944" w14:textId="77777777" w:rsidR="00526BD4" w:rsidRPr="00F15926" w:rsidRDefault="00526BD4" w:rsidP="003672BA">
            <w:pPr>
              <w:pStyle w:val="Odstavecseseznamem"/>
              <w:ind w:right="93"/>
              <w:rPr>
                <w:rFonts w:ascii="Times New Roman" w:hAnsi="Times New Roman"/>
                <w:sz w:val="24"/>
                <w:szCs w:val="24"/>
              </w:rPr>
            </w:pPr>
          </w:p>
          <w:p w14:paraId="4ECCF147" w14:textId="1E6568CF" w:rsidR="00F15926" w:rsidRPr="003E3CD3" w:rsidRDefault="00F15926" w:rsidP="003672BA">
            <w:pPr>
              <w:ind w:right="93"/>
              <w:rPr>
                <w:rFonts w:ascii="Times New Roman" w:hAnsi="Times New Roman"/>
                <w:sz w:val="24"/>
                <w:szCs w:val="24"/>
              </w:rPr>
            </w:pPr>
            <w:r w:rsidRPr="003E3CD3">
              <w:rPr>
                <w:rFonts w:ascii="Times New Roman" w:hAnsi="Times New Roman"/>
                <w:sz w:val="24"/>
                <w:szCs w:val="24"/>
              </w:rPr>
              <w:t xml:space="preserve">The </w:t>
            </w:r>
            <w:r w:rsidRPr="00E31BF7">
              <w:rPr>
                <w:rFonts w:ascii="Times New Roman" w:hAnsi="Times New Roman"/>
                <w:iCs/>
                <w:sz w:val="24"/>
                <w:szCs w:val="24"/>
              </w:rPr>
              <w:t>clinical focus</w:t>
            </w:r>
            <w:r w:rsidRPr="003E3CD3">
              <w:rPr>
                <w:rFonts w:ascii="Times New Roman" w:hAnsi="Times New Roman"/>
                <w:sz w:val="24"/>
                <w:szCs w:val="24"/>
              </w:rPr>
              <w:t xml:space="preserve"> of this department is acute cardiac care</w:t>
            </w:r>
            <w:r w:rsidR="00B45398">
              <w:rPr>
                <w:rFonts w:ascii="Times New Roman" w:hAnsi="Times New Roman"/>
                <w:sz w:val="24"/>
                <w:szCs w:val="24"/>
              </w:rPr>
              <w:t>, with particular emphasis on intensive care unite managmenet, the</w:t>
            </w:r>
            <w:r w:rsidRPr="003E3CD3">
              <w:rPr>
                <w:rFonts w:ascii="Times New Roman" w:hAnsi="Times New Roman"/>
                <w:sz w:val="24"/>
                <w:szCs w:val="24"/>
              </w:rPr>
              <w:t>, use of extracorporeal membrane oxygenation (ECMO)</w:t>
            </w:r>
            <w:r w:rsidR="00B45398">
              <w:rPr>
                <w:rFonts w:ascii="Times New Roman" w:hAnsi="Times New Roman"/>
                <w:sz w:val="24"/>
                <w:szCs w:val="24"/>
              </w:rPr>
              <w:t>, and evaluation and treatment of</w:t>
            </w:r>
            <w:r w:rsidRPr="003E3CD3">
              <w:rPr>
                <w:rFonts w:ascii="Times New Roman" w:hAnsi="Times New Roman"/>
                <w:sz w:val="24"/>
                <w:szCs w:val="24"/>
              </w:rPr>
              <w:t xml:space="preserve"> </w:t>
            </w:r>
            <w:r w:rsidRPr="003E3CD3">
              <w:rPr>
                <w:rFonts w:ascii="Times New Roman" w:hAnsi="Times New Roman"/>
                <w:sz w:val="24"/>
                <w:szCs w:val="24"/>
              </w:rPr>
              <w:lastRenderedPageBreak/>
              <w:t>myocardial diseases, specifically cardiomyopathies, myocarditis and Fabry disease. Another focus is peripheral artery disease</w:t>
            </w:r>
            <w:r w:rsidR="00B45398">
              <w:rPr>
                <w:rFonts w:ascii="Times New Roman" w:hAnsi="Times New Roman"/>
                <w:sz w:val="24"/>
                <w:szCs w:val="24"/>
              </w:rPr>
              <w:t>,</w:t>
            </w:r>
            <w:r w:rsidRPr="003E3CD3">
              <w:rPr>
                <w:rFonts w:ascii="Times New Roman" w:hAnsi="Times New Roman"/>
                <w:sz w:val="24"/>
                <w:szCs w:val="24"/>
              </w:rPr>
              <w:t xml:space="preserve"> including deep vein thrombosis and pulmonary hypertension. For the latter, they provide a unique surgical program</w:t>
            </w:r>
            <w:r w:rsidR="00B45398">
              <w:rPr>
                <w:rFonts w:ascii="Times New Roman" w:hAnsi="Times New Roman"/>
                <w:sz w:val="24"/>
                <w:szCs w:val="24"/>
              </w:rPr>
              <w:t xml:space="preserve">: </w:t>
            </w:r>
            <w:r w:rsidRPr="003E3CD3">
              <w:rPr>
                <w:rFonts w:ascii="Times New Roman" w:hAnsi="Times New Roman"/>
                <w:sz w:val="24"/>
                <w:szCs w:val="24"/>
              </w:rPr>
              <w:t xml:space="preserve"> balloon angioplasty of thrombotic pulmonary hypertension.</w:t>
            </w:r>
          </w:p>
          <w:p w14:paraId="2751235C" w14:textId="77777777" w:rsidR="00F15926" w:rsidRPr="00F15926" w:rsidRDefault="00F15926" w:rsidP="003672BA">
            <w:pPr>
              <w:pStyle w:val="Odstavecseseznamem"/>
              <w:ind w:right="93"/>
              <w:rPr>
                <w:rFonts w:ascii="Times New Roman" w:hAnsi="Times New Roman"/>
                <w:sz w:val="24"/>
                <w:szCs w:val="24"/>
              </w:rPr>
            </w:pPr>
          </w:p>
          <w:p w14:paraId="6EC64FD8" w14:textId="53022875"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t xml:space="preserve">Ther </w:t>
            </w:r>
            <w:r w:rsidRPr="00F15926">
              <w:rPr>
                <w:rFonts w:ascii="Times New Roman" w:hAnsi="Times New Roman"/>
                <w:b/>
                <w:bCs/>
                <w:sz w:val="24"/>
                <w:szCs w:val="24"/>
              </w:rPr>
              <w:t>academic strength</w:t>
            </w:r>
            <w:r w:rsidRPr="00F15926">
              <w:rPr>
                <w:rFonts w:ascii="Times New Roman" w:hAnsi="Times New Roman"/>
                <w:sz w:val="24"/>
                <w:szCs w:val="24"/>
              </w:rPr>
              <w:t xml:space="preserve"> is Fabry disease</w:t>
            </w:r>
            <w:r w:rsidR="004B6876">
              <w:rPr>
                <w:rFonts w:ascii="Times New Roman" w:hAnsi="Times New Roman"/>
                <w:sz w:val="24"/>
                <w:szCs w:val="24"/>
              </w:rPr>
              <w:t>,</w:t>
            </w:r>
            <w:r w:rsidRPr="00F15926">
              <w:rPr>
                <w:rFonts w:ascii="Times New Roman" w:hAnsi="Times New Roman"/>
                <w:sz w:val="24"/>
                <w:szCs w:val="24"/>
              </w:rPr>
              <w:t xml:space="preserve"> where they regularly investigate a large cohort of 220 patients </w:t>
            </w:r>
            <w:r w:rsidR="004B6876">
              <w:rPr>
                <w:rFonts w:ascii="Times New Roman" w:hAnsi="Times New Roman"/>
                <w:sz w:val="24"/>
                <w:szCs w:val="24"/>
              </w:rPr>
              <w:t xml:space="preserve">with </w:t>
            </w:r>
            <w:r w:rsidRPr="00F15926">
              <w:rPr>
                <w:rFonts w:ascii="Times New Roman" w:hAnsi="Times New Roman"/>
                <w:sz w:val="24"/>
                <w:szCs w:val="24"/>
              </w:rPr>
              <w:t>this rare cardiac condition. The biblimetric data of the head of the department a</w:t>
            </w:r>
            <w:r w:rsidR="004B6876">
              <w:rPr>
                <w:rFonts w:ascii="Times New Roman" w:hAnsi="Times New Roman"/>
                <w:sz w:val="24"/>
                <w:szCs w:val="24"/>
              </w:rPr>
              <w:t>re</w:t>
            </w:r>
            <w:r w:rsidRPr="00F15926">
              <w:rPr>
                <w:rFonts w:ascii="Times New Roman" w:hAnsi="Times New Roman"/>
                <w:sz w:val="24"/>
                <w:szCs w:val="24"/>
              </w:rPr>
              <w:t xml:space="preserve"> depicted in Figure 1. The time course sho</w:t>
            </w:r>
            <w:r w:rsidR="004B6876">
              <w:rPr>
                <w:rFonts w:ascii="Times New Roman" w:hAnsi="Times New Roman"/>
                <w:sz w:val="24"/>
                <w:szCs w:val="24"/>
              </w:rPr>
              <w:t>w</w:t>
            </w:r>
            <w:r w:rsidRPr="00F15926">
              <w:rPr>
                <w:rFonts w:ascii="Times New Roman" w:hAnsi="Times New Roman"/>
                <w:sz w:val="24"/>
                <w:szCs w:val="24"/>
              </w:rPr>
              <w:t>s a nice growth over the years with the highest citations in 2018 and a slight decline in 2019. 2020 is obviously inclomplete and hence not informative.</w:t>
            </w:r>
          </w:p>
          <w:p w14:paraId="48F1FFFD" w14:textId="77777777" w:rsidR="00F15926" w:rsidRPr="00F15926" w:rsidRDefault="00F15926" w:rsidP="003672BA">
            <w:pPr>
              <w:pStyle w:val="Odstavecseseznamem"/>
              <w:ind w:right="93"/>
              <w:rPr>
                <w:rFonts w:ascii="Times New Roman" w:hAnsi="Times New Roman"/>
                <w:b/>
                <w:bCs/>
                <w:sz w:val="24"/>
                <w:szCs w:val="24"/>
              </w:rPr>
            </w:pPr>
          </w:p>
          <w:p w14:paraId="06F663C1" w14:textId="14DD58A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Rating of scientific productivity</w:t>
            </w:r>
            <w:r w:rsidRPr="00F15926">
              <w:rPr>
                <w:rFonts w:ascii="Times New Roman" w:hAnsi="Times New Roman"/>
                <w:sz w:val="24"/>
                <w:szCs w:val="24"/>
              </w:rPr>
              <w:t>: A</w:t>
            </w:r>
            <w:r w:rsidR="004B6876">
              <w:rPr>
                <w:rFonts w:ascii="Times New Roman" w:hAnsi="Times New Roman"/>
                <w:sz w:val="24"/>
                <w:szCs w:val="24"/>
              </w:rPr>
              <w:t>n</w:t>
            </w:r>
            <w:r w:rsidRPr="00F15926">
              <w:rPr>
                <w:rFonts w:ascii="Times New Roman" w:hAnsi="Times New Roman"/>
                <w:sz w:val="24"/>
                <w:szCs w:val="24"/>
              </w:rPr>
              <w:t xml:space="preserve"> </w:t>
            </w:r>
            <w:r w:rsidR="004F44C2">
              <w:rPr>
                <w:rFonts w:ascii="Times New Roman" w:hAnsi="Times New Roman"/>
                <w:sz w:val="24"/>
                <w:szCs w:val="24"/>
              </w:rPr>
              <w:t>H-index</w:t>
            </w:r>
            <w:r w:rsidRPr="00F15926">
              <w:rPr>
                <w:rFonts w:ascii="Times New Roman" w:hAnsi="Times New Roman"/>
                <w:sz w:val="24"/>
                <w:szCs w:val="24"/>
              </w:rPr>
              <w:t xml:space="preserve"> of 35 can be considered good and reflects the visibility of the research of at this department in the medical literature.</w:t>
            </w:r>
          </w:p>
          <w:p w14:paraId="355DAA99" w14:textId="10D337F9"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br/>
              <w:t xml:space="preserve">Furthermore, at the </w:t>
            </w:r>
            <w:r w:rsidR="004B6876">
              <w:rPr>
                <w:rFonts w:ascii="Times New Roman" w:hAnsi="Times New Roman"/>
                <w:sz w:val="24"/>
                <w:szCs w:val="24"/>
              </w:rPr>
              <w:t>First Faculty of Medicine</w:t>
            </w:r>
            <w:r w:rsidRPr="00F15926">
              <w:rPr>
                <w:rFonts w:ascii="Times New Roman" w:hAnsi="Times New Roman"/>
                <w:sz w:val="24"/>
                <w:szCs w:val="24"/>
              </w:rPr>
              <w:t xml:space="preserve"> cardiovascular research is also performed in the </w:t>
            </w:r>
            <w:r w:rsidR="00526BD4">
              <w:rPr>
                <w:rFonts w:ascii="Times New Roman" w:hAnsi="Times New Roman"/>
                <w:b/>
                <w:bCs/>
                <w:sz w:val="24"/>
                <w:szCs w:val="24"/>
              </w:rPr>
              <w:t>Insti</w:t>
            </w:r>
            <w:r w:rsidRPr="00F15926">
              <w:rPr>
                <w:rFonts w:ascii="Times New Roman" w:hAnsi="Times New Roman"/>
                <w:b/>
                <w:bCs/>
                <w:sz w:val="24"/>
                <w:szCs w:val="24"/>
              </w:rPr>
              <w:t>tute of Physiology</w:t>
            </w:r>
            <w:r w:rsidRPr="00F15926">
              <w:rPr>
                <w:rFonts w:ascii="Times New Roman" w:hAnsi="Times New Roman"/>
                <w:sz w:val="24"/>
                <w:szCs w:val="24"/>
              </w:rPr>
              <w:t xml:space="preserve"> (Head: Prof. Ottomar Kittnar). </w:t>
            </w:r>
            <w:r w:rsidR="004B6876">
              <w:rPr>
                <w:rFonts w:ascii="Times New Roman" w:hAnsi="Times New Roman"/>
                <w:sz w:val="24"/>
                <w:szCs w:val="24"/>
              </w:rPr>
              <w:t xml:space="preserve">This </w:t>
            </w:r>
            <w:r w:rsidR="00526BD4">
              <w:rPr>
                <w:rFonts w:ascii="Times New Roman" w:hAnsi="Times New Roman"/>
                <w:sz w:val="24"/>
                <w:szCs w:val="24"/>
              </w:rPr>
              <w:t xml:space="preserve"> department performs experi</w:t>
            </w:r>
            <w:r w:rsidRPr="00F15926">
              <w:rPr>
                <w:rFonts w:ascii="Times New Roman" w:hAnsi="Times New Roman"/>
                <w:sz w:val="24"/>
                <w:szCs w:val="24"/>
              </w:rPr>
              <w:t>mental studies in pigs</w:t>
            </w:r>
            <w:r w:rsidR="004B6876">
              <w:rPr>
                <w:rFonts w:ascii="Times New Roman" w:hAnsi="Times New Roman"/>
                <w:sz w:val="24"/>
                <w:szCs w:val="24"/>
              </w:rPr>
              <w:t>,</w:t>
            </w:r>
            <w:r w:rsidRPr="00F15926">
              <w:rPr>
                <w:rFonts w:ascii="Times New Roman" w:hAnsi="Times New Roman"/>
                <w:sz w:val="24"/>
                <w:szCs w:val="24"/>
              </w:rPr>
              <w:t xml:space="preserve"> with a well-established experimental catheteri</w:t>
            </w:r>
            <w:r w:rsidR="004B6876">
              <w:rPr>
                <w:rFonts w:ascii="Times New Roman" w:hAnsi="Times New Roman"/>
                <w:sz w:val="24"/>
                <w:szCs w:val="24"/>
              </w:rPr>
              <w:t>z</w:t>
            </w:r>
            <w:r w:rsidRPr="00F15926">
              <w:rPr>
                <w:rFonts w:ascii="Times New Roman" w:hAnsi="Times New Roman"/>
                <w:sz w:val="24"/>
                <w:szCs w:val="24"/>
              </w:rPr>
              <w:t>ation laborator</w:t>
            </w:r>
            <w:r w:rsidR="004B6876">
              <w:rPr>
                <w:rFonts w:ascii="Times New Roman" w:hAnsi="Times New Roman"/>
                <w:sz w:val="24"/>
                <w:szCs w:val="24"/>
              </w:rPr>
              <w:t>y,</w:t>
            </w:r>
            <w:r w:rsidRPr="00F15926">
              <w:rPr>
                <w:rFonts w:ascii="Times New Roman" w:hAnsi="Times New Roman"/>
                <w:sz w:val="24"/>
                <w:szCs w:val="24"/>
              </w:rPr>
              <w:t xml:space="preserve"> allowing for the study of cardiogenic shock and the effects of extra corporeal membrane oxygenation (ECMO), resuscitation and arrhythmias. Their bibliometric data are depicted in Figure 2.</w:t>
            </w:r>
          </w:p>
          <w:p w14:paraId="65666DFF" w14:textId="77777777" w:rsidR="00F15926" w:rsidRPr="00F15926" w:rsidRDefault="00F15926" w:rsidP="003672BA">
            <w:pPr>
              <w:pStyle w:val="Odstavecseseznamem"/>
              <w:ind w:right="93"/>
              <w:rPr>
                <w:rFonts w:ascii="Times New Roman" w:hAnsi="Times New Roman"/>
                <w:sz w:val="24"/>
                <w:szCs w:val="24"/>
              </w:rPr>
            </w:pPr>
          </w:p>
          <w:p w14:paraId="2596B53E"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noProof/>
                <w:sz w:val="24"/>
                <w:szCs w:val="24"/>
                <w:lang w:eastAsia="cs-CZ"/>
              </w:rPr>
              <w:lastRenderedPageBreak/>
              <w:drawing>
                <wp:inline distT="0" distB="0" distL="0" distR="0" wp14:anchorId="4CCA4775" wp14:editId="07242421">
                  <wp:extent cx="4656779" cy="3720883"/>
                  <wp:effectExtent l="0" t="0" r="4445" b="635"/>
                  <wp:docPr id="14"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omarKittna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7223" cy="3729228"/>
                          </a:xfrm>
                          <a:prstGeom prst="rect">
                            <a:avLst/>
                          </a:prstGeom>
                        </pic:spPr>
                      </pic:pic>
                    </a:graphicData>
                  </a:graphic>
                </wp:inline>
              </w:drawing>
            </w:r>
          </w:p>
          <w:p w14:paraId="21B3CAB1"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br/>
            </w:r>
            <w:r w:rsidRPr="00F15926">
              <w:rPr>
                <w:rFonts w:ascii="Times New Roman" w:hAnsi="Times New Roman"/>
                <w:b/>
                <w:bCs/>
                <w:sz w:val="24"/>
                <w:szCs w:val="24"/>
              </w:rPr>
              <w:t>Figure 2</w:t>
            </w:r>
            <w:r w:rsidRPr="00F15926">
              <w:rPr>
                <w:rFonts w:ascii="Times New Roman" w:hAnsi="Times New Roman"/>
                <w:sz w:val="24"/>
                <w:szCs w:val="24"/>
              </w:rPr>
              <w:t>: Bibliometric data of Professor Otto Kittnar</w:t>
            </w:r>
          </w:p>
          <w:p w14:paraId="0973A080" w14:textId="77777777" w:rsidR="00F15926" w:rsidRPr="00F15926" w:rsidRDefault="00F15926" w:rsidP="003672BA">
            <w:pPr>
              <w:pStyle w:val="Odstavecseseznamem"/>
              <w:ind w:right="93"/>
              <w:rPr>
                <w:rFonts w:ascii="Times New Roman" w:hAnsi="Times New Roman"/>
                <w:sz w:val="24"/>
                <w:szCs w:val="24"/>
              </w:rPr>
            </w:pPr>
          </w:p>
          <w:p w14:paraId="33E10AD1" w14:textId="5EB00CB4"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Rating of Scientific Productivity</w:t>
            </w:r>
            <w:r w:rsidRPr="00F15926">
              <w:rPr>
                <w:rFonts w:ascii="Times New Roman" w:hAnsi="Times New Roman"/>
                <w:sz w:val="24"/>
                <w:szCs w:val="24"/>
              </w:rPr>
              <w:t xml:space="preserve">: For a professor mainly involved in research, the </w:t>
            </w:r>
            <w:r w:rsidR="004F44C2">
              <w:rPr>
                <w:rFonts w:ascii="Times New Roman" w:hAnsi="Times New Roman"/>
                <w:sz w:val="24"/>
                <w:szCs w:val="24"/>
              </w:rPr>
              <w:t>H-index</w:t>
            </w:r>
            <w:r w:rsidRPr="00F15926">
              <w:rPr>
                <w:rFonts w:ascii="Times New Roman" w:hAnsi="Times New Roman"/>
                <w:sz w:val="24"/>
                <w:szCs w:val="24"/>
              </w:rPr>
              <w:t xml:space="preserve"> of 11 </w:t>
            </w:r>
            <w:r w:rsidR="004B6876">
              <w:rPr>
                <w:rFonts w:ascii="Times New Roman" w:hAnsi="Times New Roman"/>
                <w:sz w:val="24"/>
                <w:szCs w:val="24"/>
              </w:rPr>
              <w:t>is</w:t>
            </w:r>
            <w:r w:rsidRPr="00F15926">
              <w:rPr>
                <w:rFonts w:ascii="Times New Roman" w:hAnsi="Times New Roman"/>
                <w:sz w:val="24"/>
                <w:szCs w:val="24"/>
              </w:rPr>
              <w:t xml:space="preserve"> low. Of note, citations have dropped </w:t>
            </w:r>
            <w:r w:rsidR="004B6876">
              <w:rPr>
                <w:rFonts w:ascii="Times New Roman" w:hAnsi="Times New Roman"/>
                <w:sz w:val="24"/>
                <w:szCs w:val="24"/>
              </w:rPr>
              <w:t>from</w:t>
            </w:r>
            <w:r w:rsidRPr="00F15926">
              <w:rPr>
                <w:rFonts w:ascii="Times New Roman" w:hAnsi="Times New Roman"/>
                <w:sz w:val="24"/>
                <w:szCs w:val="24"/>
              </w:rPr>
              <w:t>a peak in 2017</w:t>
            </w:r>
            <w:r w:rsidR="004B6876">
              <w:rPr>
                <w:rFonts w:ascii="Times New Roman" w:hAnsi="Times New Roman"/>
                <w:sz w:val="24"/>
                <w:szCs w:val="24"/>
              </w:rPr>
              <w:t>.</w:t>
            </w:r>
            <w:r w:rsidRPr="00F15926">
              <w:rPr>
                <w:rFonts w:ascii="Times New Roman" w:hAnsi="Times New Roman"/>
                <w:sz w:val="24"/>
                <w:szCs w:val="24"/>
              </w:rPr>
              <w:t>. This is surprising as ECMO is currently a topic</w:t>
            </w:r>
            <w:r w:rsidR="004B6876">
              <w:rPr>
                <w:rFonts w:ascii="Times New Roman" w:hAnsi="Times New Roman"/>
                <w:sz w:val="24"/>
                <w:szCs w:val="24"/>
              </w:rPr>
              <w:t xml:space="preserve"> of rising interest and importance</w:t>
            </w:r>
            <w:r w:rsidRPr="00F15926">
              <w:rPr>
                <w:rFonts w:ascii="Times New Roman" w:hAnsi="Times New Roman"/>
                <w:sz w:val="24"/>
                <w:szCs w:val="24"/>
              </w:rPr>
              <w:t xml:space="preserve"> in cardiogenic shock</w:t>
            </w:r>
            <w:r w:rsidR="004B6876">
              <w:rPr>
                <w:rFonts w:ascii="Times New Roman" w:hAnsi="Times New Roman"/>
                <w:sz w:val="24"/>
                <w:szCs w:val="24"/>
              </w:rPr>
              <w:t>. T</w:t>
            </w:r>
            <w:r w:rsidRPr="00F15926">
              <w:rPr>
                <w:rFonts w:ascii="Times New Roman" w:hAnsi="Times New Roman"/>
                <w:sz w:val="24"/>
                <w:szCs w:val="24"/>
              </w:rPr>
              <w:t xml:space="preserve">hus, when considering this fact, the productivity is </w:t>
            </w:r>
            <w:r w:rsidR="004B6876">
              <w:rPr>
                <w:rFonts w:ascii="Times New Roman" w:hAnsi="Times New Roman"/>
                <w:sz w:val="24"/>
                <w:szCs w:val="24"/>
              </w:rPr>
              <w:t>considered suboptimal</w:t>
            </w:r>
            <w:r w:rsidRPr="00F15926">
              <w:rPr>
                <w:rFonts w:ascii="Times New Roman" w:hAnsi="Times New Roman"/>
                <w:sz w:val="24"/>
                <w:szCs w:val="24"/>
              </w:rPr>
              <w:t xml:space="preserve">. Clearly, this group would need a more in depth analysis and mentoring to get on a higher track internationally. </w:t>
            </w:r>
          </w:p>
          <w:p w14:paraId="5B68D63B" w14:textId="77777777" w:rsidR="00F15926" w:rsidRPr="00F15926" w:rsidRDefault="00F15926" w:rsidP="003672BA">
            <w:pPr>
              <w:pStyle w:val="Odstavecseseznamem"/>
              <w:ind w:right="93"/>
              <w:rPr>
                <w:rFonts w:ascii="Times New Roman" w:hAnsi="Times New Roman"/>
                <w:sz w:val="24"/>
                <w:szCs w:val="24"/>
              </w:rPr>
            </w:pPr>
          </w:p>
          <w:p w14:paraId="5FEF7B42" w14:textId="6343443A"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sz w:val="24"/>
                <w:szCs w:val="24"/>
              </w:rPr>
              <w:lastRenderedPageBreak/>
              <w:t xml:space="preserve">Another focus of the </w:t>
            </w:r>
            <w:r w:rsidR="004B6876">
              <w:rPr>
                <w:rFonts w:ascii="Times New Roman" w:hAnsi="Times New Roman"/>
                <w:sz w:val="24"/>
                <w:szCs w:val="24"/>
              </w:rPr>
              <w:t>First Facult of Medicine</w:t>
            </w:r>
            <w:r w:rsidRPr="00F15926">
              <w:rPr>
                <w:rFonts w:ascii="Times New Roman" w:hAnsi="Times New Roman"/>
                <w:sz w:val="24"/>
                <w:szCs w:val="24"/>
              </w:rPr>
              <w:t xml:space="preserve"> is the study of arterial hypertension. This takes place mainly </w:t>
            </w:r>
            <w:r w:rsidR="0091625E">
              <w:rPr>
                <w:rFonts w:ascii="Times New Roman" w:hAnsi="Times New Roman"/>
                <w:sz w:val="24"/>
                <w:szCs w:val="24"/>
              </w:rPr>
              <w:t>with the team</w:t>
            </w:r>
            <w:r w:rsidRPr="00F15926">
              <w:rPr>
                <w:rFonts w:ascii="Times New Roman" w:hAnsi="Times New Roman"/>
                <w:sz w:val="24"/>
                <w:szCs w:val="24"/>
              </w:rPr>
              <w:t xml:space="preserve"> led by Professor </w:t>
            </w:r>
            <w:r w:rsidR="0091625E">
              <w:rPr>
                <w:rFonts w:ascii="Times New Roman" w:hAnsi="Times New Roman"/>
                <w:color w:val="000000" w:themeColor="text1"/>
                <w:sz w:val="24"/>
                <w:szCs w:val="24"/>
              </w:rPr>
              <w:t xml:space="preserve">Jiri </w:t>
            </w:r>
            <w:r w:rsidRPr="00F15926">
              <w:rPr>
                <w:rFonts w:ascii="Times New Roman" w:hAnsi="Times New Roman"/>
                <w:color w:val="000000" w:themeColor="text1"/>
                <w:sz w:val="24"/>
                <w:szCs w:val="24"/>
              </w:rPr>
              <w:t>Widimsky. Their research focuses on secondary forms of hypertension, such as primary aldosteronism among others. The bibliometric data are presented in Figure 3.</w:t>
            </w:r>
          </w:p>
          <w:p w14:paraId="01588D6A" w14:textId="77777777" w:rsidR="00F15926" w:rsidRPr="00F15926" w:rsidRDefault="00F15926" w:rsidP="003672BA">
            <w:pPr>
              <w:pStyle w:val="Odstavecseseznamem"/>
              <w:ind w:right="93"/>
              <w:rPr>
                <w:rFonts w:ascii="Times New Roman" w:hAnsi="Times New Roman"/>
                <w:color w:val="000000" w:themeColor="text1"/>
                <w:sz w:val="24"/>
                <w:szCs w:val="24"/>
              </w:rPr>
            </w:pPr>
          </w:p>
          <w:p w14:paraId="3D35C757" w14:textId="496EEEF2"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Rating of Scientific Productivity</w:t>
            </w:r>
            <w:r w:rsidR="0091625E">
              <w:rPr>
                <w:rFonts w:ascii="Times New Roman" w:hAnsi="Times New Roman"/>
                <w:sz w:val="24"/>
                <w:szCs w:val="24"/>
              </w:rPr>
              <w:t>: With</w:t>
            </w:r>
            <w:r w:rsidRPr="00F15926">
              <w:rPr>
                <w:rFonts w:ascii="Times New Roman" w:hAnsi="Times New Roman"/>
                <w:sz w:val="24"/>
                <w:szCs w:val="24"/>
              </w:rPr>
              <w:t xml:space="preserve"> </w:t>
            </w:r>
            <w:r w:rsidR="00AA56BC">
              <w:rPr>
                <w:rFonts w:ascii="Times New Roman" w:hAnsi="Times New Roman"/>
                <w:sz w:val="24"/>
                <w:szCs w:val="24"/>
              </w:rPr>
              <w:t>H</w:t>
            </w:r>
            <w:r w:rsidR="004F44C2">
              <w:rPr>
                <w:rFonts w:ascii="Times New Roman" w:hAnsi="Times New Roman"/>
                <w:sz w:val="24"/>
                <w:szCs w:val="24"/>
              </w:rPr>
              <w:t>-index</w:t>
            </w:r>
            <w:r w:rsidR="0091625E">
              <w:rPr>
                <w:rFonts w:ascii="Times New Roman" w:hAnsi="Times New Roman"/>
                <w:sz w:val="24"/>
                <w:szCs w:val="24"/>
              </w:rPr>
              <w:t xml:space="preserve"> of 26, Professor Jiri</w:t>
            </w:r>
            <w:r w:rsidRPr="00F15926">
              <w:rPr>
                <w:rFonts w:ascii="Times New Roman" w:hAnsi="Times New Roman"/>
                <w:sz w:val="24"/>
                <w:szCs w:val="24"/>
              </w:rPr>
              <w:t xml:space="preserve"> Widimsky is below the medi</w:t>
            </w:r>
            <w:r w:rsidR="00AA56BC">
              <w:rPr>
                <w:rFonts w:ascii="Times New Roman" w:hAnsi="Times New Roman"/>
                <w:sz w:val="24"/>
                <w:szCs w:val="24"/>
              </w:rPr>
              <w:t>an</w:t>
            </w:r>
            <w:r w:rsidRPr="00F15926">
              <w:rPr>
                <w:rFonts w:ascii="Times New Roman" w:hAnsi="Times New Roman"/>
                <w:sz w:val="24"/>
                <w:szCs w:val="24"/>
              </w:rPr>
              <w:t xml:space="preserve"> in his field. </w:t>
            </w:r>
            <w:r w:rsidR="00AA56BC">
              <w:rPr>
                <w:rFonts w:ascii="Times New Roman" w:hAnsi="Times New Roman"/>
                <w:sz w:val="24"/>
                <w:szCs w:val="24"/>
              </w:rPr>
              <w:t>In</w:t>
            </w:r>
            <w:r w:rsidRPr="00F15926">
              <w:rPr>
                <w:rFonts w:ascii="Times New Roman" w:hAnsi="Times New Roman"/>
                <w:sz w:val="24"/>
                <w:szCs w:val="24"/>
              </w:rPr>
              <w:t xml:space="preserve"> the past</w:t>
            </w:r>
            <w:r w:rsidR="00AA56BC">
              <w:rPr>
                <w:rFonts w:ascii="Times New Roman" w:hAnsi="Times New Roman"/>
                <w:sz w:val="24"/>
                <w:szCs w:val="24"/>
              </w:rPr>
              <w:t>,</w:t>
            </w:r>
            <w:r w:rsidRPr="00F15926">
              <w:rPr>
                <w:rFonts w:ascii="Times New Roman" w:hAnsi="Times New Roman"/>
                <w:sz w:val="24"/>
                <w:szCs w:val="24"/>
              </w:rPr>
              <w:t xml:space="preserve"> hypertension was a topic with very high citations, </w:t>
            </w:r>
            <w:r w:rsidR="00AA56BC">
              <w:rPr>
                <w:rFonts w:ascii="Times New Roman" w:hAnsi="Times New Roman"/>
                <w:sz w:val="24"/>
                <w:szCs w:val="24"/>
              </w:rPr>
              <w:t>but publications in this area have recently declined due to</w:t>
            </w:r>
            <w:r w:rsidRPr="00F15926">
              <w:rPr>
                <w:rFonts w:ascii="Times New Roman" w:hAnsi="Times New Roman"/>
                <w:sz w:val="24"/>
                <w:szCs w:val="24"/>
              </w:rPr>
              <w:t xml:space="preserve"> the lack of major trials and new drugs. Secondary hypertension is clearly no longer center stage and deals with relatively rare diseases which ha</w:t>
            </w:r>
            <w:r w:rsidR="00AA56BC">
              <w:rPr>
                <w:rFonts w:ascii="Times New Roman" w:hAnsi="Times New Roman"/>
                <w:sz w:val="24"/>
                <w:szCs w:val="24"/>
              </w:rPr>
              <w:t>ve</w:t>
            </w:r>
            <w:r w:rsidRPr="00F15926">
              <w:rPr>
                <w:rFonts w:ascii="Times New Roman" w:hAnsi="Times New Roman"/>
                <w:sz w:val="24"/>
                <w:szCs w:val="24"/>
              </w:rPr>
              <w:t xml:space="preserve"> to be considered when assessing this clinical scientist. </w:t>
            </w:r>
            <w:r w:rsidR="00AA56BC">
              <w:rPr>
                <w:rFonts w:ascii="Times New Roman" w:hAnsi="Times New Roman"/>
                <w:sz w:val="24"/>
                <w:szCs w:val="24"/>
              </w:rPr>
              <w:t xml:space="preserve">For a department chief with his level of experience, the </w:t>
            </w:r>
            <w:r w:rsidR="004F44C2">
              <w:rPr>
                <w:rFonts w:ascii="Times New Roman" w:hAnsi="Times New Roman"/>
                <w:sz w:val="24"/>
                <w:szCs w:val="24"/>
              </w:rPr>
              <w:t>H-index</w:t>
            </w:r>
            <w:r w:rsidR="00AA56BC">
              <w:rPr>
                <w:rFonts w:ascii="Times New Roman" w:hAnsi="Times New Roman"/>
                <w:sz w:val="24"/>
                <w:szCs w:val="24"/>
              </w:rPr>
              <w:t xml:space="preserve"> is lower than expected</w:t>
            </w:r>
            <w:r w:rsidR="00E31BF7">
              <w:rPr>
                <w:rFonts w:ascii="Times New Roman" w:hAnsi="Times New Roman"/>
                <w:sz w:val="24"/>
                <w:szCs w:val="24"/>
              </w:rPr>
              <w:t xml:space="preserve"> </w:t>
            </w:r>
            <w:r w:rsidR="004F44C2">
              <w:rPr>
                <w:rFonts w:ascii="Times New Roman" w:hAnsi="Times New Roman"/>
                <w:sz w:val="24"/>
                <w:szCs w:val="24"/>
              </w:rPr>
              <w:t>H-index</w:t>
            </w:r>
          </w:p>
          <w:p w14:paraId="532D3869" w14:textId="77777777" w:rsidR="00F15926" w:rsidRPr="00F15926" w:rsidRDefault="00F15926" w:rsidP="003672BA">
            <w:pPr>
              <w:pStyle w:val="Odstavecseseznamem"/>
              <w:ind w:right="93"/>
              <w:rPr>
                <w:rFonts w:ascii="Times New Roman" w:hAnsi="Times New Roman"/>
                <w:color w:val="000000" w:themeColor="text1"/>
                <w:sz w:val="24"/>
                <w:szCs w:val="24"/>
              </w:rPr>
            </w:pPr>
          </w:p>
          <w:p w14:paraId="08D9F75A" w14:textId="77777777"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noProof/>
                <w:color w:val="000000" w:themeColor="text1"/>
                <w:sz w:val="24"/>
                <w:szCs w:val="24"/>
                <w:lang w:eastAsia="cs-CZ"/>
              </w:rPr>
              <w:lastRenderedPageBreak/>
              <w:drawing>
                <wp:inline distT="0" distB="0" distL="0" distR="0" wp14:anchorId="108ACA8D" wp14:editId="37893E6B">
                  <wp:extent cx="5120640" cy="4079606"/>
                  <wp:effectExtent l="0" t="0" r="0" b="0"/>
                  <wp:docPr id="15"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Widimsk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8241" cy="4085662"/>
                          </a:xfrm>
                          <a:prstGeom prst="rect">
                            <a:avLst/>
                          </a:prstGeom>
                        </pic:spPr>
                      </pic:pic>
                    </a:graphicData>
                  </a:graphic>
                </wp:inline>
              </w:drawing>
            </w:r>
          </w:p>
          <w:p w14:paraId="2CF2FE0E" w14:textId="77777777" w:rsidR="00F15926" w:rsidRPr="00F15926" w:rsidRDefault="00F15926" w:rsidP="003672BA">
            <w:pPr>
              <w:pStyle w:val="Odstavecseseznamem"/>
              <w:ind w:right="93"/>
              <w:rPr>
                <w:rFonts w:ascii="Times New Roman" w:hAnsi="Times New Roman"/>
                <w:color w:val="000000" w:themeColor="text1"/>
                <w:sz w:val="24"/>
                <w:szCs w:val="24"/>
              </w:rPr>
            </w:pPr>
          </w:p>
          <w:p w14:paraId="01092812" w14:textId="675D366E"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color w:val="000000" w:themeColor="text1"/>
                <w:sz w:val="24"/>
                <w:szCs w:val="24"/>
              </w:rPr>
              <w:t>Figure 3</w:t>
            </w:r>
            <w:r w:rsidRPr="00F15926">
              <w:rPr>
                <w:rFonts w:ascii="Times New Roman" w:hAnsi="Times New Roman"/>
                <w:color w:val="000000" w:themeColor="text1"/>
                <w:sz w:val="24"/>
                <w:szCs w:val="24"/>
              </w:rPr>
              <w:t>: Bi</w:t>
            </w:r>
            <w:r w:rsidR="0091625E">
              <w:rPr>
                <w:rFonts w:ascii="Times New Roman" w:hAnsi="Times New Roman"/>
                <w:color w:val="000000" w:themeColor="text1"/>
                <w:sz w:val="24"/>
                <w:szCs w:val="24"/>
              </w:rPr>
              <w:t>bliometric data of Professor Jiri</w:t>
            </w:r>
            <w:r w:rsidRPr="00F15926">
              <w:rPr>
                <w:rFonts w:ascii="Times New Roman" w:hAnsi="Times New Roman"/>
                <w:color w:val="000000" w:themeColor="text1"/>
                <w:sz w:val="24"/>
                <w:szCs w:val="24"/>
              </w:rPr>
              <w:t xml:space="preserve"> Widimsky.</w:t>
            </w:r>
          </w:p>
          <w:p w14:paraId="5752EADE" w14:textId="644019AD"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color w:val="000000" w:themeColor="text1"/>
                <w:sz w:val="24"/>
                <w:szCs w:val="24"/>
              </w:rPr>
              <w:br/>
              <w:t xml:space="preserve">Finally, cardiovascular prevention and in particular hypertension is also </w:t>
            </w:r>
            <w:r w:rsidR="00AA56BC">
              <w:rPr>
                <w:rFonts w:ascii="Times New Roman" w:hAnsi="Times New Roman"/>
                <w:color w:val="000000" w:themeColor="text1"/>
                <w:sz w:val="24"/>
                <w:szCs w:val="24"/>
              </w:rPr>
              <w:t xml:space="preserve"> a focus for</w:t>
            </w:r>
            <w:r w:rsidRPr="00F15926">
              <w:rPr>
                <w:rFonts w:ascii="Times New Roman" w:hAnsi="Times New Roman"/>
                <w:color w:val="000000" w:themeColor="text1"/>
                <w:sz w:val="24"/>
                <w:szCs w:val="24"/>
              </w:rPr>
              <w:t xml:space="preserve"> the </w:t>
            </w:r>
            <w:r w:rsidRPr="00E31BF7">
              <w:rPr>
                <w:rFonts w:ascii="Times New Roman" w:hAnsi="Times New Roman"/>
                <w:iCs/>
                <w:color w:val="000000" w:themeColor="text1"/>
                <w:sz w:val="24"/>
                <w:szCs w:val="24"/>
              </w:rPr>
              <w:t>Centre of Preventive Cardiology</w:t>
            </w:r>
            <w:r w:rsidRPr="00F15926">
              <w:rPr>
                <w:rFonts w:ascii="Times New Roman" w:hAnsi="Times New Roman"/>
                <w:color w:val="000000" w:themeColor="text1"/>
                <w:sz w:val="24"/>
                <w:szCs w:val="24"/>
              </w:rPr>
              <w:t xml:space="preserve"> in the </w:t>
            </w:r>
            <w:r w:rsidRPr="00F15926">
              <w:rPr>
                <w:rFonts w:ascii="Times New Roman" w:hAnsi="Times New Roman"/>
                <w:b/>
                <w:bCs/>
                <w:color w:val="000000" w:themeColor="text1"/>
                <w:sz w:val="24"/>
                <w:szCs w:val="24"/>
              </w:rPr>
              <w:t>Thomayer Hospital in Prague</w:t>
            </w:r>
            <w:r w:rsidRPr="00F15926">
              <w:rPr>
                <w:rFonts w:ascii="Times New Roman" w:hAnsi="Times New Roman"/>
                <w:color w:val="000000" w:themeColor="text1"/>
                <w:sz w:val="24"/>
                <w:szCs w:val="24"/>
              </w:rPr>
              <w:t>, led by Dr. Renata Cifko</w:t>
            </w:r>
            <w:r w:rsidR="009453A1">
              <w:rPr>
                <w:rFonts w:ascii="Times New Roman" w:hAnsi="Times New Roman"/>
                <w:color w:val="000000" w:themeColor="text1"/>
                <w:sz w:val="24"/>
                <w:szCs w:val="24"/>
              </w:rPr>
              <w:t>v</w:t>
            </w:r>
            <w:r w:rsidRPr="00F15926">
              <w:rPr>
                <w:rFonts w:ascii="Times New Roman" w:hAnsi="Times New Roman"/>
                <w:color w:val="000000" w:themeColor="text1"/>
                <w:sz w:val="24"/>
                <w:szCs w:val="24"/>
              </w:rPr>
              <w:t>a</w:t>
            </w:r>
            <w:r w:rsidR="00AA56BC">
              <w:rPr>
                <w:rFonts w:ascii="Times New Roman" w:hAnsi="Times New Roman"/>
                <w:color w:val="000000" w:themeColor="text1"/>
                <w:sz w:val="24"/>
                <w:szCs w:val="24"/>
              </w:rPr>
              <w:t>,</w:t>
            </w:r>
            <w:r w:rsidRPr="00F15926">
              <w:rPr>
                <w:rFonts w:ascii="Times New Roman" w:hAnsi="Times New Roman"/>
                <w:color w:val="000000" w:themeColor="text1"/>
                <w:sz w:val="24"/>
                <w:szCs w:val="24"/>
              </w:rPr>
              <w:t xml:space="preserve"> who is very active in the leadership of the </w:t>
            </w:r>
            <w:r w:rsidRPr="00F15926">
              <w:rPr>
                <w:rFonts w:ascii="Times New Roman" w:hAnsi="Times New Roman"/>
                <w:i/>
                <w:iCs/>
                <w:color w:val="000000" w:themeColor="text1"/>
                <w:sz w:val="24"/>
                <w:szCs w:val="24"/>
              </w:rPr>
              <w:t>European Society of Hypertension</w:t>
            </w:r>
            <w:r w:rsidRPr="00F15926">
              <w:rPr>
                <w:rFonts w:ascii="Times New Roman" w:hAnsi="Times New Roman"/>
                <w:color w:val="000000" w:themeColor="text1"/>
                <w:sz w:val="24"/>
                <w:szCs w:val="24"/>
              </w:rPr>
              <w:t>.</w:t>
            </w:r>
          </w:p>
          <w:p w14:paraId="2309268F"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31190E12" w14:textId="28665438"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lastRenderedPageBreak/>
              <w:t>Rating of Scientific Productivity</w:t>
            </w:r>
            <w:r w:rsidR="009453A1">
              <w:rPr>
                <w:rFonts w:ascii="Times New Roman" w:hAnsi="Times New Roman"/>
                <w:sz w:val="24"/>
                <w:szCs w:val="24"/>
              </w:rPr>
              <w:t>: Renata Cifkov</w:t>
            </w:r>
            <w:r w:rsidRPr="00F15926">
              <w:rPr>
                <w:rFonts w:ascii="Times New Roman" w:hAnsi="Times New Roman"/>
                <w:sz w:val="24"/>
                <w:szCs w:val="24"/>
              </w:rPr>
              <w:t xml:space="preserve">a works in a non-university hospital but is  associated with Charles University. </w:t>
            </w:r>
            <w:r w:rsidR="00AA56BC">
              <w:rPr>
                <w:rFonts w:ascii="Times New Roman" w:hAnsi="Times New Roman"/>
                <w:sz w:val="24"/>
                <w:szCs w:val="24"/>
              </w:rPr>
              <w:t>Considering her position,</w:t>
            </w:r>
            <w:r w:rsidRPr="00F15926">
              <w:rPr>
                <w:rFonts w:ascii="Times New Roman" w:hAnsi="Times New Roman"/>
                <w:sz w:val="24"/>
                <w:szCs w:val="24"/>
              </w:rPr>
              <w:t xml:space="preserve"> her scientific productivity is good (Figure 4). However, as she has been quite active in the </w:t>
            </w:r>
            <w:r w:rsidRPr="00F15926">
              <w:rPr>
                <w:rFonts w:ascii="Times New Roman" w:hAnsi="Times New Roman"/>
                <w:i/>
                <w:iCs/>
                <w:sz w:val="24"/>
                <w:szCs w:val="24"/>
              </w:rPr>
              <w:t>European Society of Hypertension</w:t>
            </w:r>
            <w:r w:rsidRPr="00F15926">
              <w:rPr>
                <w:rFonts w:ascii="Times New Roman" w:hAnsi="Times New Roman"/>
                <w:sz w:val="24"/>
                <w:szCs w:val="24"/>
              </w:rPr>
              <w:t xml:space="preserve">, some of here citations may come from guideliens and other official documents of the society rather than from own original rsearch. Nevertheless, she is internationally visible in her field. Of concern is </w:t>
            </w:r>
            <w:r w:rsidR="004F44C2">
              <w:rPr>
                <w:rFonts w:ascii="Times New Roman" w:hAnsi="Times New Roman"/>
                <w:sz w:val="24"/>
                <w:szCs w:val="24"/>
              </w:rPr>
              <w:t>a recent</w:t>
            </w:r>
            <w:r w:rsidR="004F44C2" w:rsidRPr="00F15926">
              <w:rPr>
                <w:rFonts w:ascii="Times New Roman" w:hAnsi="Times New Roman"/>
                <w:sz w:val="24"/>
                <w:szCs w:val="24"/>
              </w:rPr>
              <w:t xml:space="preserve"> </w:t>
            </w:r>
            <w:r w:rsidRPr="00F15926">
              <w:rPr>
                <w:rFonts w:ascii="Times New Roman" w:hAnsi="Times New Roman"/>
                <w:sz w:val="24"/>
                <w:szCs w:val="24"/>
              </w:rPr>
              <w:t>decline in citations, reflecting reduced scientific productivity.</w:t>
            </w:r>
          </w:p>
          <w:p w14:paraId="293DA560"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7E7A33A8"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311CB79B"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35BC8DA6"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1D92F911" w14:textId="77777777" w:rsidR="00F15926" w:rsidRPr="00F15926" w:rsidRDefault="00F15926" w:rsidP="003672BA">
            <w:pPr>
              <w:pStyle w:val="Odstavecseseznamem"/>
              <w:ind w:right="93"/>
              <w:rPr>
                <w:rFonts w:ascii="Times New Roman" w:hAnsi="Times New Roman"/>
                <w:b/>
                <w:bCs/>
                <w:color w:val="000000" w:themeColor="text1"/>
                <w:sz w:val="24"/>
                <w:szCs w:val="24"/>
              </w:rPr>
            </w:pPr>
            <w:r w:rsidRPr="00F15926">
              <w:rPr>
                <w:rFonts w:ascii="Times New Roman" w:hAnsi="Times New Roman"/>
                <w:b/>
                <w:bCs/>
                <w:noProof/>
                <w:color w:val="000000" w:themeColor="text1"/>
                <w:sz w:val="24"/>
                <w:szCs w:val="24"/>
                <w:lang w:eastAsia="cs-CZ"/>
              </w:rPr>
              <w:lastRenderedPageBreak/>
              <w:drawing>
                <wp:inline distT="0" distB="0" distL="0" distR="0" wp14:anchorId="272C5561" wp14:editId="6AD44127">
                  <wp:extent cx="4903893" cy="3893341"/>
                  <wp:effectExtent l="0" t="0" r="0" b="5715"/>
                  <wp:docPr id="1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ataCifkov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6489" cy="3903341"/>
                          </a:xfrm>
                          <a:prstGeom prst="rect">
                            <a:avLst/>
                          </a:prstGeom>
                        </pic:spPr>
                      </pic:pic>
                    </a:graphicData>
                  </a:graphic>
                </wp:inline>
              </w:drawing>
            </w:r>
          </w:p>
          <w:p w14:paraId="2A69B9E6" w14:textId="77777777" w:rsidR="00F15926" w:rsidRPr="00F15926" w:rsidRDefault="00F15926" w:rsidP="003672BA">
            <w:pPr>
              <w:pStyle w:val="Odstavecseseznamem"/>
              <w:ind w:right="93"/>
              <w:rPr>
                <w:rFonts w:ascii="Times New Roman" w:hAnsi="Times New Roman"/>
                <w:b/>
                <w:bCs/>
                <w:color w:val="000000" w:themeColor="text1"/>
                <w:sz w:val="24"/>
                <w:szCs w:val="24"/>
              </w:rPr>
            </w:pPr>
            <w:r w:rsidRPr="00F15926">
              <w:rPr>
                <w:rFonts w:ascii="Times New Roman" w:hAnsi="Times New Roman"/>
                <w:b/>
                <w:bCs/>
                <w:color w:val="000000" w:themeColor="text1"/>
                <w:sz w:val="24"/>
                <w:szCs w:val="24"/>
              </w:rPr>
              <w:t>Figure 4</w:t>
            </w:r>
            <w:r w:rsidRPr="00F15926">
              <w:rPr>
                <w:rFonts w:ascii="Times New Roman" w:hAnsi="Times New Roman"/>
                <w:color w:val="000000" w:themeColor="text1"/>
                <w:sz w:val="24"/>
                <w:szCs w:val="24"/>
              </w:rPr>
              <w:t>: Bibliometric data of Professor Renata Cifkowa</w:t>
            </w:r>
          </w:p>
          <w:p w14:paraId="350D734A" w14:textId="77777777" w:rsidR="00F15926" w:rsidRPr="00F15926" w:rsidRDefault="00F15926" w:rsidP="003672BA">
            <w:pPr>
              <w:pStyle w:val="Odstavecseseznamem"/>
              <w:ind w:right="93"/>
              <w:rPr>
                <w:rFonts w:ascii="Times New Roman" w:hAnsi="Times New Roman"/>
                <w:b/>
                <w:bCs/>
                <w:color w:val="000000" w:themeColor="text1"/>
                <w:sz w:val="24"/>
                <w:szCs w:val="24"/>
              </w:rPr>
            </w:pPr>
          </w:p>
          <w:p w14:paraId="600CA357" w14:textId="54AE76D2"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color w:val="000000" w:themeColor="text1"/>
                <w:sz w:val="24"/>
                <w:szCs w:val="24"/>
              </w:rPr>
              <w:t>Cardiovascular surgery</w:t>
            </w:r>
            <w:r w:rsidRPr="00F15926">
              <w:rPr>
                <w:rFonts w:ascii="Times New Roman" w:hAnsi="Times New Roman"/>
                <w:color w:val="000000" w:themeColor="text1"/>
                <w:sz w:val="24"/>
                <w:szCs w:val="24"/>
              </w:rPr>
              <w:t xml:space="preserve"> is led by Prof. Jaroslav Lindner. His research focus is on thromboembolic pulmonary hypertension, aortic root and peripheral artery surgery. His </w:t>
            </w:r>
            <w:r w:rsidR="004F44C2">
              <w:rPr>
                <w:rFonts w:ascii="Times New Roman" w:hAnsi="Times New Roman"/>
                <w:color w:val="000000" w:themeColor="text1"/>
                <w:sz w:val="24"/>
                <w:szCs w:val="24"/>
              </w:rPr>
              <w:t>H-index</w:t>
            </w:r>
            <w:r w:rsidRPr="00F15926">
              <w:rPr>
                <w:rFonts w:ascii="Times New Roman" w:hAnsi="Times New Roman"/>
                <w:color w:val="000000" w:themeColor="text1"/>
                <w:sz w:val="24"/>
                <w:szCs w:val="24"/>
              </w:rPr>
              <w:t xml:space="preserve"> is 12</w:t>
            </w:r>
            <w:r w:rsidR="004F44C2">
              <w:rPr>
                <w:rFonts w:ascii="Times New Roman" w:hAnsi="Times New Roman"/>
                <w:color w:val="000000" w:themeColor="text1"/>
                <w:sz w:val="24"/>
                <w:szCs w:val="24"/>
              </w:rPr>
              <w:t>,</w:t>
            </w:r>
            <w:r w:rsidRPr="00F15926">
              <w:rPr>
                <w:rFonts w:ascii="Times New Roman" w:hAnsi="Times New Roman"/>
                <w:color w:val="000000" w:themeColor="text1"/>
                <w:sz w:val="24"/>
                <w:szCs w:val="24"/>
              </w:rPr>
              <w:t xml:space="preserve"> with a steep increase recently (Figure 5)</w:t>
            </w:r>
            <w:r w:rsidR="004F44C2">
              <w:rPr>
                <w:rFonts w:ascii="Times New Roman" w:hAnsi="Times New Roman"/>
                <w:color w:val="000000" w:themeColor="text1"/>
                <w:sz w:val="24"/>
                <w:szCs w:val="24"/>
              </w:rPr>
              <w:t>. This H-index</w:t>
            </w:r>
            <w:r w:rsidRPr="00F15926">
              <w:rPr>
                <w:rFonts w:ascii="Times New Roman" w:hAnsi="Times New Roman"/>
                <w:color w:val="000000" w:themeColor="text1"/>
                <w:sz w:val="24"/>
                <w:szCs w:val="24"/>
              </w:rPr>
              <w:t xml:space="preserve"> is </w:t>
            </w:r>
            <w:r w:rsidR="004F44C2">
              <w:rPr>
                <w:rFonts w:ascii="Times New Roman" w:hAnsi="Times New Roman"/>
                <w:color w:val="000000" w:themeColor="text1"/>
                <w:sz w:val="24"/>
                <w:szCs w:val="24"/>
              </w:rPr>
              <w:t>average</w:t>
            </w:r>
            <w:r w:rsidR="004F44C2" w:rsidRPr="00F15926">
              <w:rPr>
                <w:rFonts w:ascii="Times New Roman" w:hAnsi="Times New Roman"/>
                <w:color w:val="000000" w:themeColor="text1"/>
                <w:sz w:val="24"/>
                <w:szCs w:val="24"/>
              </w:rPr>
              <w:t xml:space="preserve"> </w:t>
            </w:r>
            <w:r w:rsidRPr="00F15926">
              <w:rPr>
                <w:rFonts w:ascii="Times New Roman" w:hAnsi="Times New Roman"/>
                <w:color w:val="000000" w:themeColor="text1"/>
                <w:sz w:val="24"/>
                <w:szCs w:val="24"/>
              </w:rPr>
              <w:t>for a cardiac surgeon.</w:t>
            </w:r>
          </w:p>
          <w:p w14:paraId="5FE3290E" w14:textId="77777777" w:rsidR="00F15926" w:rsidRPr="00F15926" w:rsidRDefault="00F15926" w:rsidP="003672BA">
            <w:pPr>
              <w:pStyle w:val="Odstavecseseznamem"/>
              <w:ind w:right="93"/>
              <w:rPr>
                <w:rFonts w:ascii="Times New Roman" w:hAnsi="Times New Roman"/>
                <w:color w:val="000000" w:themeColor="text1"/>
                <w:sz w:val="24"/>
                <w:szCs w:val="24"/>
              </w:rPr>
            </w:pPr>
          </w:p>
          <w:p w14:paraId="28AADFDE" w14:textId="77777777"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noProof/>
                <w:color w:val="000000" w:themeColor="text1"/>
                <w:sz w:val="24"/>
                <w:szCs w:val="24"/>
                <w:lang w:eastAsia="cs-CZ"/>
              </w:rPr>
              <w:lastRenderedPageBreak/>
              <w:drawing>
                <wp:inline distT="0" distB="0" distL="0" distR="0" wp14:anchorId="6BD469FB" wp14:editId="4EF2A2EA">
                  <wp:extent cx="4480050" cy="3627322"/>
                  <wp:effectExtent l="0" t="0" r="3175" b="5080"/>
                  <wp:docPr id="17" name="Grafik 1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aroslavLindn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0322" cy="3635638"/>
                          </a:xfrm>
                          <a:prstGeom prst="rect">
                            <a:avLst/>
                          </a:prstGeom>
                        </pic:spPr>
                      </pic:pic>
                    </a:graphicData>
                  </a:graphic>
                </wp:inline>
              </w:drawing>
            </w:r>
          </w:p>
          <w:p w14:paraId="3E5B2310" w14:textId="77777777"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color w:val="000000" w:themeColor="text1"/>
                <w:sz w:val="24"/>
                <w:szCs w:val="24"/>
              </w:rPr>
              <w:t>Figure 5</w:t>
            </w:r>
            <w:r w:rsidRPr="00F15926">
              <w:rPr>
                <w:rFonts w:ascii="Times New Roman" w:hAnsi="Times New Roman"/>
                <w:color w:val="000000" w:themeColor="text1"/>
                <w:sz w:val="24"/>
                <w:szCs w:val="24"/>
              </w:rPr>
              <w:t>: Bibliometric data of Professor Jaroslav Lindner</w:t>
            </w:r>
          </w:p>
          <w:p w14:paraId="495CE75E"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color w:val="000000" w:themeColor="text1"/>
                <w:sz w:val="24"/>
                <w:szCs w:val="24"/>
              </w:rPr>
              <w:br/>
            </w:r>
          </w:p>
          <w:p w14:paraId="0C24D0BA" w14:textId="5ADEAAC9" w:rsidR="00F15926" w:rsidRPr="00F15926" w:rsidRDefault="004F44C2" w:rsidP="003672BA">
            <w:pPr>
              <w:pStyle w:val="Odstavecseseznamem"/>
              <w:spacing w:after="160" w:line="259" w:lineRule="auto"/>
              <w:ind w:right="93"/>
              <w:rPr>
                <w:rFonts w:ascii="Times New Roman" w:hAnsi="Times New Roman"/>
                <w:sz w:val="24"/>
                <w:szCs w:val="24"/>
              </w:rPr>
            </w:pPr>
            <w:r>
              <w:rPr>
                <w:rFonts w:ascii="Times New Roman" w:hAnsi="Times New Roman"/>
                <w:b/>
                <w:bCs/>
                <w:sz w:val="24"/>
                <w:szCs w:val="24"/>
              </w:rPr>
              <w:t>Second Faculty of Medicine</w:t>
            </w:r>
            <w:r w:rsidR="00F15926" w:rsidRPr="00F15926">
              <w:rPr>
                <w:rFonts w:ascii="Times New Roman" w:hAnsi="Times New Roman"/>
                <w:b/>
                <w:bCs/>
                <w:sz w:val="24"/>
                <w:szCs w:val="24"/>
              </w:rPr>
              <w:t xml:space="preserve"> (</w:t>
            </w:r>
            <w:hyperlink r:id="rId15" w:history="1">
              <w:r w:rsidR="00F15926" w:rsidRPr="00F15926">
                <w:rPr>
                  <w:rStyle w:val="Hypertextovodkaz"/>
                  <w:rFonts w:ascii="Times New Roman" w:hAnsi="Times New Roman"/>
                  <w:b/>
                  <w:bCs/>
                  <w:sz w:val="24"/>
                  <w:szCs w:val="24"/>
                </w:rPr>
                <w:t>https://www.lf2.cuni.cz</w:t>
              </w:r>
            </w:hyperlink>
            <w:r w:rsidR="00F15926" w:rsidRPr="00F15926">
              <w:rPr>
                <w:rFonts w:ascii="Times New Roman" w:hAnsi="Times New Roman"/>
                <w:b/>
                <w:bCs/>
                <w:sz w:val="24"/>
                <w:szCs w:val="24"/>
              </w:rPr>
              <w:t xml:space="preserve">): </w:t>
            </w:r>
            <w:r w:rsidR="00F15926" w:rsidRPr="00F15926">
              <w:rPr>
                <w:rFonts w:ascii="Times New Roman" w:hAnsi="Times New Roman"/>
                <w:sz w:val="24"/>
                <w:szCs w:val="24"/>
              </w:rPr>
              <w:t xml:space="preserve">The </w:t>
            </w:r>
            <w:r w:rsidR="00F15926" w:rsidRPr="00F15926">
              <w:rPr>
                <w:rFonts w:ascii="Times New Roman" w:hAnsi="Times New Roman"/>
                <w:b/>
                <w:bCs/>
                <w:sz w:val="24"/>
                <w:szCs w:val="24"/>
              </w:rPr>
              <w:t>Department of Cardiology</w:t>
            </w:r>
            <w:r w:rsidR="00F15926" w:rsidRPr="00F15926">
              <w:rPr>
                <w:rFonts w:ascii="Times New Roman" w:hAnsi="Times New Roman"/>
                <w:sz w:val="24"/>
                <w:szCs w:val="24"/>
              </w:rPr>
              <w:t xml:space="preserve"> is led by Prof. Josef Veselka. </w:t>
            </w:r>
            <w:r>
              <w:rPr>
                <w:rFonts w:ascii="Times New Roman" w:hAnsi="Times New Roman"/>
                <w:sz w:val="24"/>
                <w:szCs w:val="24"/>
              </w:rPr>
              <w:t xml:space="preserve">This department is unique as thesingle national </w:t>
            </w:r>
            <w:r w:rsidR="00F15926" w:rsidRPr="00F15926">
              <w:rPr>
                <w:rFonts w:ascii="Times New Roman" w:hAnsi="Times New Roman"/>
                <w:sz w:val="24"/>
                <w:szCs w:val="24"/>
              </w:rPr>
              <w:t xml:space="preserve">centre for paediatric cardiology and cardiovascular surgery. Therefore, the institution </w:t>
            </w:r>
            <w:r>
              <w:rPr>
                <w:rFonts w:ascii="Times New Roman" w:hAnsi="Times New Roman"/>
                <w:sz w:val="24"/>
                <w:szCs w:val="24"/>
              </w:rPr>
              <w:t>has</w:t>
            </w:r>
            <w:r w:rsidR="00F15926" w:rsidRPr="00F15926">
              <w:rPr>
                <w:rFonts w:ascii="Times New Roman" w:hAnsi="Times New Roman"/>
                <w:sz w:val="24"/>
                <w:szCs w:val="24"/>
              </w:rPr>
              <w:t xml:space="preserve"> a large patient volume and accordingly unique clinical competence in this field in the Czech Republic. The clinical standard is considered excellent also by </w:t>
            </w:r>
            <w:r>
              <w:rPr>
                <w:rFonts w:ascii="Times New Roman" w:hAnsi="Times New Roman"/>
                <w:sz w:val="24"/>
                <w:szCs w:val="24"/>
              </w:rPr>
              <w:t>its colleagues.</w:t>
            </w:r>
            <w:r w:rsidR="00F15926" w:rsidRPr="00F15926">
              <w:rPr>
                <w:rFonts w:ascii="Times New Roman" w:hAnsi="Times New Roman"/>
                <w:sz w:val="24"/>
                <w:szCs w:val="24"/>
              </w:rPr>
              <w:t xml:space="preserve"> </w:t>
            </w:r>
          </w:p>
          <w:p w14:paraId="7B681F4C" w14:textId="77777777" w:rsidR="00F15926" w:rsidRPr="00F15926" w:rsidRDefault="00F15926" w:rsidP="003672BA">
            <w:pPr>
              <w:pStyle w:val="Odstavecseseznamem"/>
              <w:ind w:right="93"/>
              <w:rPr>
                <w:rFonts w:ascii="Times New Roman" w:hAnsi="Times New Roman"/>
                <w:sz w:val="24"/>
                <w:szCs w:val="24"/>
              </w:rPr>
            </w:pPr>
          </w:p>
          <w:p w14:paraId="64859B7F" w14:textId="4AE2D3A2"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b/>
                <w:bCs/>
                <w:sz w:val="24"/>
                <w:szCs w:val="24"/>
              </w:rPr>
              <w:lastRenderedPageBreak/>
              <w:t>Scientific Productivity</w:t>
            </w:r>
            <w:r w:rsidRPr="00F15926">
              <w:rPr>
                <w:rFonts w:ascii="Times New Roman" w:hAnsi="Times New Roman"/>
                <w:sz w:val="24"/>
                <w:szCs w:val="24"/>
              </w:rPr>
              <w:t xml:space="preserve">: Among adult cardiology, </w:t>
            </w:r>
            <w:r w:rsidR="004F44C2" w:rsidRPr="00F15926">
              <w:rPr>
                <w:rFonts w:ascii="Times New Roman" w:hAnsi="Times New Roman"/>
                <w:sz w:val="24"/>
                <w:szCs w:val="24"/>
              </w:rPr>
              <w:t>the</w:t>
            </w:r>
            <w:r w:rsidR="004F44C2">
              <w:rPr>
                <w:rFonts w:ascii="Times New Roman" w:hAnsi="Times New Roman"/>
                <w:sz w:val="24"/>
                <w:szCs w:val="24"/>
              </w:rPr>
              <w:t xml:space="preserve"> academic </w:t>
            </w:r>
            <w:r w:rsidRPr="00F15926">
              <w:rPr>
                <w:rFonts w:ascii="Times New Roman" w:hAnsi="Times New Roman"/>
                <w:sz w:val="24"/>
                <w:szCs w:val="24"/>
              </w:rPr>
              <w:t xml:space="preserve">strength is hypertrophic cardiomyopathy, particularly </w:t>
            </w:r>
            <w:r w:rsidRPr="00F15926">
              <w:rPr>
                <w:rFonts w:ascii="Times New Roman" w:hAnsi="Times New Roman"/>
                <w:color w:val="000000" w:themeColor="text1"/>
                <w:sz w:val="24"/>
                <w:szCs w:val="24"/>
              </w:rPr>
              <w:t xml:space="preserve">alcohol septal ablation, where they published quite successfully even in high impact journals such as the </w:t>
            </w:r>
            <w:r w:rsidRPr="00F15926">
              <w:rPr>
                <w:rFonts w:ascii="Times New Roman" w:hAnsi="Times New Roman"/>
                <w:i/>
                <w:iCs/>
                <w:color w:val="000000" w:themeColor="text1"/>
                <w:sz w:val="24"/>
                <w:szCs w:val="24"/>
              </w:rPr>
              <w:t>European Heart Journal</w:t>
            </w:r>
            <w:r w:rsidRPr="00F15926">
              <w:rPr>
                <w:rFonts w:ascii="Times New Roman" w:hAnsi="Times New Roman"/>
                <w:color w:val="000000" w:themeColor="text1"/>
                <w:sz w:val="24"/>
                <w:szCs w:val="24"/>
              </w:rPr>
              <w:t>. In general, over the last few years they published between 9 and 16 papers per year, mainly in low and medium factor journals.</w:t>
            </w:r>
          </w:p>
          <w:p w14:paraId="74AB3EC2" w14:textId="77777777" w:rsidR="00F15926" w:rsidRPr="00F15926" w:rsidRDefault="00F15926" w:rsidP="003672BA">
            <w:pPr>
              <w:pStyle w:val="Odstavecseseznamem"/>
              <w:ind w:right="93"/>
              <w:rPr>
                <w:rFonts w:ascii="Times New Roman" w:hAnsi="Times New Roman"/>
                <w:color w:val="000000" w:themeColor="text1"/>
                <w:sz w:val="24"/>
                <w:szCs w:val="24"/>
              </w:rPr>
            </w:pPr>
          </w:p>
          <w:p w14:paraId="6893A0B2" w14:textId="063EE8D6" w:rsidR="00F15926" w:rsidRPr="00F15926" w:rsidRDefault="00F15926" w:rsidP="003672BA">
            <w:pPr>
              <w:pStyle w:val="Odstavecseseznamem"/>
              <w:ind w:right="93"/>
              <w:rPr>
                <w:rFonts w:ascii="Times New Roman" w:hAnsi="Times New Roman"/>
                <w:color w:val="000000" w:themeColor="text1"/>
                <w:sz w:val="24"/>
                <w:szCs w:val="24"/>
              </w:rPr>
            </w:pPr>
            <w:r w:rsidRPr="00F15926">
              <w:rPr>
                <w:rFonts w:ascii="Times New Roman" w:hAnsi="Times New Roman"/>
                <w:color w:val="000000" w:themeColor="text1"/>
                <w:sz w:val="24"/>
                <w:szCs w:val="24"/>
              </w:rPr>
              <w:t xml:space="preserve">The rating of the scientific productivity overall, however, is quite low. </w:t>
            </w:r>
            <w:r w:rsidR="004F44C2">
              <w:rPr>
                <w:rFonts w:ascii="Times New Roman" w:hAnsi="Times New Roman"/>
                <w:color w:val="000000" w:themeColor="text1"/>
                <w:sz w:val="24"/>
                <w:szCs w:val="24"/>
              </w:rPr>
              <w:t>With an</w:t>
            </w:r>
            <w:r w:rsidRPr="00F15926">
              <w:rPr>
                <w:rFonts w:ascii="Times New Roman" w:hAnsi="Times New Roman"/>
                <w:color w:val="000000" w:themeColor="text1"/>
                <w:sz w:val="24"/>
                <w:szCs w:val="24"/>
              </w:rPr>
              <w:t xml:space="preserve"> </w:t>
            </w:r>
            <w:r w:rsidR="004F44C2">
              <w:rPr>
                <w:rFonts w:ascii="Times New Roman" w:hAnsi="Times New Roman"/>
                <w:color w:val="000000" w:themeColor="text1"/>
                <w:sz w:val="24"/>
                <w:szCs w:val="24"/>
              </w:rPr>
              <w:t>H-index</w:t>
            </w:r>
            <w:r w:rsidR="009453A1">
              <w:rPr>
                <w:rFonts w:ascii="Times New Roman" w:hAnsi="Times New Roman"/>
                <w:color w:val="000000" w:themeColor="text1"/>
                <w:sz w:val="24"/>
                <w:szCs w:val="24"/>
              </w:rPr>
              <w:t xml:space="preserve"> of 16</w:t>
            </w:r>
            <w:r w:rsidRPr="00F15926">
              <w:rPr>
                <w:rFonts w:ascii="Times New Roman" w:hAnsi="Times New Roman"/>
                <w:color w:val="000000" w:themeColor="text1"/>
                <w:sz w:val="24"/>
                <w:szCs w:val="24"/>
              </w:rPr>
              <w:t>, this group is – with some exceptions mentioned above – not competitive internationally, although the index grew of the last years (Figure 6).</w:t>
            </w:r>
          </w:p>
          <w:p w14:paraId="0288AF33" w14:textId="77777777" w:rsidR="00F15926" w:rsidRPr="00F15926" w:rsidRDefault="00F15926" w:rsidP="003672BA">
            <w:pPr>
              <w:pStyle w:val="Odstavecseseznamem"/>
              <w:ind w:right="93"/>
              <w:rPr>
                <w:rFonts w:ascii="Times New Roman" w:hAnsi="Times New Roman"/>
                <w:color w:val="000000" w:themeColor="text1"/>
                <w:sz w:val="24"/>
                <w:szCs w:val="24"/>
              </w:rPr>
            </w:pPr>
          </w:p>
          <w:p w14:paraId="50B5E588"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noProof/>
                <w:sz w:val="24"/>
                <w:szCs w:val="24"/>
                <w:lang w:eastAsia="cs-CZ"/>
              </w:rPr>
              <w:lastRenderedPageBreak/>
              <w:drawing>
                <wp:inline distT="0" distB="0" distL="0" distR="0" wp14:anchorId="4D60D807" wp14:editId="174C6966">
                  <wp:extent cx="5062892" cy="4063327"/>
                  <wp:effectExtent l="0" t="0" r="4445" b="1270"/>
                  <wp:docPr id="18"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velk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0644" cy="4069549"/>
                          </a:xfrm>
                          <a:prstGeom prst="rect">
                            <a:avLst/>
                          </a:prstGeom>
                        </pic:spPr>
                      </pic:pic>
                    </a:graphicData>
                  </a:graphic>
                </wp:inline>
              </w:drawing>
            </w:r>
          </w:p>
          <w:p w14:paraId="6D33807A" w14:textId="12DDACE1"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b/>
                <w:bCs/>
                <w:sz w:val="24"/>
                <w:szCs w:val="24"/>
              </w:rPr>
              <w:t>Figure 6</w:t>
            </w:r>
            <w:r w:rsidRPr="00F15926">
              <w:rPr>
                <w:rFonts w:ascii="Times New Roman" w:hAnsi="Times New Roman"/>
                <w:sz w:val="24"/>
                <w:szCs w:val="24"/>
              </w:rPr>
              <w:t>: Bibliome</w:t>
            </w:r>
            <w:r w:rsidR="0091625E">
              <w:rPr>
                <w:rFonts w:ascii="Times New Roman" w:hAnsi="Times New Roman"/>
                <w:sz w:val="24"/>
                <w:szCs w:val="24"/>
              </w:rPr>
              <w:t>tric data of Professor Josef Ves</w:t>
            </w:r>
            <w:r w:rsidRPr="00F15926">
              <w:rPr>
                <w:rFonts w:ascii="Times New Roman" w:hAnsi="Times New Roman"/>
                <w:sz w:val="24"/>
                <w:szCs w:val="24"/>
              </w:rPr>
              <w:t>elka</w:t>
            </w:r>
          </w:p>
          <w:p w14:paraId="6BD4B2A4" w14:textId="77777777" w:rsidR="00F15926" w:rsidRPr="00F15926" w:rsidRDefault="00F15926" w:rsidP="003672BA">
            <w:pPr>
              <w:pStyle w:val="Odstavecseseznamem"/>
              <w:ind w:right="93"/>
              <w:rPr>
                <w:rFonts w:ascii="Times New Roman" w:hAnsi="Times New Roman"/>
                <w:sz w:val="24"/>
                <w:szCs w:val="24"/>
              </w:rPr>
            </w:pPr>
          </w:p>
          <w:p w14:paraId="59D63430" w14:textId="77777777" w:rsidR="00F15926" w:rsidRPr="00F15926" w:rsidRDefault="00F15926" w:rsidP="003672BA">
            <w:pPr>
              <w:pStyle w:val="Odstavecseseznamem"/>
              <w:ind w:right="93"/>
              <w:rPr>
                <w:rFonts w:ascii="Times New Roman" w:hAnsi="Times New Roman"/>
                <w:sz w:val="24"/>
                <w:szCs w:val="24"/>
              </w:rPr>
            </w:pPr>
          </w:p>
          <w:p w14:paraId="099D03F6" w14:textId="19ED6932" w:rsidR="00F15926" w:rsidRPr="00F15926" w:rsidRDefault="004F44C2" w:rsidP="003672BA">
            <w:pPr>
              <w:pStyle w:val="Odstavecseseznamem"/>
              <w:spacing w:after="160" w:line="259" w:lineRule="auto"/>
              <w:ind w:right="93"/>
              <w:rPr>
                <w:rFonts w:ascii="Times New Roman" w:hAnsi="Times New Roman"/>
                <w:sz w:val="24"/>
                <w:szCs w:val="24"/>
              </w:rPr>
            </w:pPr>
            <w:r>
              <w:rPr>
                <w:rFonts w:ascii="Times New Roman" w:hAnsi="Times New Roman"/>
                <w:color w:val="000000" w:themeColor="text1"/>
                <w:sz w:val="24"/>
                <w:szCs w:val="24"/>
              </w:rPr>
              <w:t>Third Faculty of Medicine</w:t>
            </w:r>
            <w:r w:rsidR="00F15926" w:rsidRPr="00F15926">
              <w:rPr>
                <w:rFonts w:ascii="Times New Roman" w:hAnsi="Times New Roman"/>
                <w:b/>
                <w:bCs/>
                <w:sz w:val="24"/>
                <w:szCs w:val="24"/>
              </w:rPr>
              <w:t xml:space="preserve"> (https://www.lf1.cuni.cz):</w:t>
            </w:r>
            <w:r w:rsidR="00F15926" w:rsidRPr="00F15926">
              <w:rPr>
                <w:rFonts w:ascii="Times New Roman" w:hAnsi="Times New Roman"/>
                <w:sz w:val="24"/>
                <w:szCs w:val="24"/>
              </w:rPr>
              <w:t xml:space="preserve">This is the most prominent and internationally most visible department of cardiology, led by Prof. Petr Widimský. </w:t>
            </w:r>
            <w:r>
              <w:rPr>
                <w:rFonts w:ascii="Times New Roman" w:hAnsi="Times New Roman"/>
                <w:sz w:val="24"/>
                <w:szCs w:val="24"/>
              </w:rPr>
              <w:t>Besides its chairman, the department has four</w:t>
            </w:r>
            <w:r w:rsidR="00F15926" w:rsidRPr="00F15926">
              <w:rPr>
                <w:rFonts w:ascii="Times New Roman" w:hAnsi="Times New Roman"/>
                <w:sz w:val="24"/>
                <w:szCs w:val="24"/>
              </w:rPr>
              <w:t xml:space="preserve"> full professors covering different fields of cardiology (Gregor Pavel, Zuzana Motovskà, Rudolf Spacek and Petr Tousek) and 3 associate professsors (Viktor Kocka, Jana Malkova and Pavel Osmancik).  Professor Petr Widimský is currently also the dean of this medical faculty.</w:t>
            </w:r>
          </w:p>
          <w:p w14:paraId="67ADA4C5" w14:textId="01105ABF"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lastRenderedPageBreak/>
              <w:br/>
              <w:t xml:space="preserve">The </w:t>
            </w:r>
            <w:r w:rsidRPr="00F15926">
              <w:rPr>
                <w:rFonts w:ascii="Times New Roman" w:hAnsi="Times New Roman"/>
                <w:b/>
                <w:bCs/>
                <w:sz w:val="24"/>
                <w:szCs w:val="24"/>
              </w:rPr>
              <w:t>clinical service</w:t>
            </w:r>
            <w:r w:rsidRPr="00F15926">
              <w:rPr>
                <w:rFonts w:ascii="Times New Roman" w:hAnsi="Times New Roman"/>
                <w:sz w:val="24"/>
                <w:szCs w:val="24"/>
              </w:rPr>
              <w:t xml:space="preserve"> covers </w:t>
            </w:r>
            <w:r w:rsidR="008421C6">
              <w:rPr>
                <w:rFonts w:ascii="Times New Roman" w:hAnsi="Times New Roman"/>
                <w:sz w:val="24"/>
                <w:szCs w:val="24"/>
              </w:rPr>
              <w:t>all of</w:t>
            </w:r>
            <w:r w:rsidRPr="00F15926">
              <w:rPr>
                <w:rFonts w:ascii="Times New Roman" w:hAnsi="Times New Roman"/>
                <w:sz w:val="24"/>
                <w:szCs w:val="24"/>
              </w:rPr>
              <w:t xml:space="preserve"> cardiovascular medicine</w:t>
            </w:r>
            <w:r w:rsidR="008421C6">
              <w:rPr>
                <w:rFonts w:ascii="Times New Roman" w:hAnsi="Times New Roman"/>
                <w:sz w:val="24"/>
                <w:szCs w:val="24"/>
              </w:rPr>
              <w:t>,</w:t>
            </w:r>
            <w:r w:rsidRPr="00F15926">
              <w:rPr>
                <w:rFonts w:ascii="Times New Roman" w:hAnsi="Times New Roman"/>
                <w:sz w:val="24"/>
                <w:szCs w:val="24"/>
              </w:rPr>
              <w:t xml:space="preserve"> with a particular strength in the management of acute coronary syndromes and interventional cardiology. Furthermore, they have a unique interdisciplinary interventional team</w:t>
            </w:r>
            <w:r w:rsidR="008421C6">
              <w:rPr>
                <w:rFonts w:ascii="Times New Roman" w:hAnsi="Times New Roman"/>
                <w:sz w:val="24"/>
                <w:szCs w:val="24"/>
              </w:rPr>
              <w:t xml:space="preserve"> that treats</w:t>
            </w:r>
            <w:r w:rsidRPr="00F15926">
              <w:rPr>
                <w:rFonts w:ascii="Times New Roman" w:hAnsi="Times New Roman"/>
                <w:sz w:val="24"/>
                <w:szCs w:val="24"/>
              </w:rPr>
              <w:t>treating patients with acute stroke and are active in arrhythmia and structural interventions, such as left atrial appendix occlu</w:t>
            </w:r>
            <w:r w:rsidR="008421C6">
              <w:rPr>
                <w:rFonts w:ascii="Times New Roman" w:hAnsi="Times New Roman"/>
                <w:sz w:val="24"/>
                <w:szCs w:val="24"/>
              </w:rPr>
              <w:t>sion</w:t>
            </w:r>
            <w:r w:rsidRPr="00F15926">
              <w:rPr>
                <w:rFonts w:ascii="Times New Roman" w:hAnsi="Times New Roman"/>
                <w:sz w:val="24"/>
                <w:szCs w:val="24"/>
              </w:rPr>
              <w:t>, among others.</w:t>
            </w:r>
          </w:p>
          <w:p w14:paraId="0B970072" w14:textId="272460CD"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br/>
            </w:r>
            <w:r w:rsidRPr="00F15926">
              <w:rPr>
                <w:rFonts w:ascii="Times New Roman" w:hAnsi="Times New Roman"/>
                <w:b/>
                <w:bCs/>
                <w:sz w:val="24"/>
                <w:szCs w:val="24"/>
              </w:rPr>
              <w:t>Academically</w:t>
            </w:r>
            <w:r w:rsidRPr="00F15926">
              <w:rPr>
                <w:rFonts w:ascii="Times New Roman" w:hAnsi="Times New Roman"/>
                <w:sz w:val="24"/>
                <w:szCs w:val="24"/>
              </w:rPr>
              <w:t xml:space="preserve">, this centre is extremely productive and the leading centre of the </w:t>
            </w:r>
            <w:r w:rsidRPr="00F15926">
              <w:rPr>
                <w:rFonts w:ascii="Times New Roman" w:hAnsi="Times New Roman"/>
                <w:b/>
                <w:bCs/>
                <w:i/>
                <w:iCs/>
                <w:sz w:val="24"/>
                <w:szCs w:val="24"/>
              </w:rPr>
              <w:t>Prague Trials</w:t>
            </w:r>
            <w:r w:rsidR="008421C6">
              <w:rPr>
                <w:rFonts w:ascii="Times New Roman" w:hAnsi="Times New Roman"/>
                <w:bCs/>
                <w:i/>
                <w:iCs/>
                <w:sz w:val="24"/>
                <w:szCs w:val="24"/>
              </w:rPr>
              <w:t>, which have</w:t>
            </w:r>
            <w:r w:rsidRPr="00F15926">
              <w:rPr>
                <w:rFonts w:ascii="Times New Roman" w:hAnsi="Times New Roman"/>
                <w:sz w:val="24"/>
                <w:szCs w:val="24"/>
              </w:rPr>
              <w:t xml:space="preserve"> addressed many important questions in cardiovascular medicine, particularly interventional cardiology in a multi-centre setting involving many cardiac centres in the country. Most of the </w:t>
            </w:r>
            <w:r w:rsidRPr="00F15926">
              <w:rPr>
                <w:rFonts w:ascii="Times New Roman" w:hAnsi="Times New Roman"/>
                <w:i/>
                <w:iCs/>
                <w:sz w:val="24"/>
                <w:szCs w:val="24"/>
              </w:rPr>
              <w:t>Prague Trials</w:t>
            </w:r>
            <w:r w:rsidRPr="00F15926">
              <w:rPr>
                <w:rFonts w:ascii="Times New Roman" w:hAnsi="Times New Roman"/>
                <w:sz w:val="24"/>
                <w:szCs w:val="24"/>
              </w:rPr>
              <w:t xml:space="preserve"> were published in the best journals of cardiovascular medicine with high impact factors.</w:t>
            </w:r>
            <w:r w:rsidRPr="00F15926">
              <w:rPr>
                <w:rStyle w:val="Znakapoznpodarou"/>
                <w:rFonts w:ascii="Times New Roman" w:hAnsi="Times New Roman"/>
                <w:sz w:val="24"/>
                <w:szCs w:val="24"/>
              </w:rPr>
              <w:footnoteReference w:id="1"/>
            </w:r>
            <w:r w:rsidRPr="00F15926">
              <w:rPr>
                <w:rFonts w:ascii="Times New Roman" w:hAnsi="Times New Roman"/>
                <w:sz w:val="24"/>
                <w:szCs w:val="24"/>
              </w:rPr>
              <w:t xml:space="preserve"> Thus, this cardiology centre is clearly the lighthouse of Charles University in cardiovascular medicine, with visibility in the management of acute myocardial infarction and stroke, atrial fibrillation and His-bundle pacing internationally.</w:t>
            </w:r>
          </w:p>
          <w:p w14:paraId="3AF8D7F3" w14:textId="77777777" w:rsidR="00F15926" w:rsidRPr="00F15926" w:rsidRDefault="00F15926" w:rsidP="003672BA">
            <w:pPr>
              <w:pStyle w:val="Odstavecseseznamem"/>
              <w:ind w:right="93"/>
              <w:rPr>
                <w:rFonts w:ascii="Times New Roman" w:hAnsi="Times New Roman"/>
                <w:sz w:val="24"/>
                <w:szCs w:val="24"/>
              </w:rPr>
            </w:pPr>
          </w:p>
          <w:p w14:paraId="77816A81" w14:textId="64832AEB"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sz w:val="24"/>
                <w:szCs w:val="24"/>
              </w:rPr>
              <w:t xml:space="preserve">Petr Widimsky is the driving force behind these internationally </w:t>
            </w:r>
            <w:r w:rsidR="008421C6">
              <w:rPr>
                <w:rFonts w:ascii="Times New Roman" w:hAnsi="Times New Roman"/>
                <w:sz w:val="24"/>
                <w:szCs w:val="24"/>
              </w:rPr>
              <w:t xml:space="preserve">highly </w:t>
            </w:r>
            <w:r w:rsidRPr="00F15926">
              <w:rPr>
                <w:rFonts w:ascii="Times New Roman" w:hAnsi="Times New Roman"/>
                <w:sz w:val="24"/>
                <w:szCs w:val="24"/>
              </w:rPr>
              <w:t xml:space="preserve">visible and cited </w:t>
            </w:r>
            <w:r w:rsidRPr="00F15926">
              <w:rPr>
                <w:rFonts w:ascii="Times New Roman" w:hAnsi="Times New Roman"/>
                <w:b/>
                <w:bCs/>
                <w:i/>
                <w:iCs/>
                <w:sz w:val="24"/>
                <w:szCs w:val="24"/>
              </w:rPr>
              <w:t>Prague Trials</w:t>
            </w:r>
            <w:r w:rsidRPr="00F15926">
              <w:rPr>
                <w:rFonts w:ascii="Times New Roman" w:hAnsi="Times New Roman"/>
                <w:sz w:val="24"/>
                <w:szCs w:val="24"/>
              </w:rPr>
              <w:t xml:space="preserve"> series</w:t>
            </w:r>
            <w:r w:rsidR="008421C6">
              <w:rPr>
                <w:rFonts w:ascii="Times New Roman" w:hAnsi="Times New Roman"/>
                <w:sz w:val="24"/>
                <w:szCs w:val="24"/>
              </w:rPr>
              <w:t>,</w:t>
            </w:r>
            <w:r w:rsidRPr="00F15926">
              <w:rPr>
                <w:rFonts w:ascii="Times New Roman" w:hAnsi="Times New Roman"/>
                <w:sz w:val="24"/>
                <w:szCs w:val="24"/>
              </w:rPr>
              <w:t xml:space="preserve"> publishing over 20 papers in prime journals such as the </w:t>
            </w:r>
            <w:r w:rsidRPr="00F15926">
              <w:rPr>
                <w:rFonts w:ascii="Times New Roman" w:hAnsi="Times New Roman"/>
                <w:i/>
                <w:iCs/>
                <w:sz w:val="24"/>
                <w:szCs w:val="24"/>
              </w:rPr>
              <w:t>European Heart Journal</w:t>
            </w:r>
            <w:r w:rsidRPr="00F15926">
              <w:rPr>
                <w:rFonts w:ascii="Times New Roman" w:hAnsi="Times New Roman"/>
                <w:sz w:val="24"/>
                <w:szCs w:val="24"/>
              </w:rPr>
              <w:t xml:space="preserve">, the </w:t>
            </w:r>
            <w:r w:rsidRPr="00F15926">
              <w:rPr>
                <w:rFonts w:ascii="Times New Roman" w:hAnsi="Times New Roman"/>
                <w:i/>
                <w:iCs/>
                <w:sz w:val="24"/>
                <w:szCs w:val="24"/>
              </w:rPr>
              <w:t>Journal of the American College of Cardiology</w:t>
            </w:r>
            <w:r w:rsidRPr="00F15926">
              <w:rPr>
                <w:rFonts w:ascii="Times New Roman" w:hAnsi="Times New Roman"/>
                <w:sz w:val="24"/>
                <w:szCs w:val="24"/>
              </w:rPr>
              <w:t xml:space="preserve">, </w:t>
            </w:r>
            <w:r w:rsidRPr="00F15926">
              <w:rPr>
                <w:rFonts w:ascii="Times New Roman" w:hAnsi="Times New Roman"/>
                <w:i/>
                <w:iCs/>
                <w:sz w:val="24"/>
                <w:szCs w:val="24"/>
              </w:rPr>
              <w:t>Heart Rhythm</w:t>
            </w:r>
            <w:r w:rsidRPr="00F15926">
              <w:rPr>
                <w:rFonts w:ascii="Times New Roman" w:hAnsi="Times New Roman"/>
                <w:sz w:val="24"/>
                <w:szCs w:val="24"/>
              </w:rPr>
              <w:t xml:space="preserve"> among others in and he has also pioneered the interventional treatment of stroke and is now president of the ESC Council for Stroke as a reflection of his contributions in this field as well. With an </w:t>
            </w:r>
            <w:r w:rsidR="004F44C2">
              <w:rPr>
                <w:rFonts w:ascii="Times New Roman" w:hAnsi="Times New Roman"/>
                <w:sz w:val="24"/>
                <w:szCs w:val="24"/>
              </w:rPr>
              <w:t>H-index</w:t>
            </w:r>
            <w:r w:rsidRPr="00F15926">
              <w:rPr>
                <w:rFonts w:ascii="Times New Roman" w:hAnsi="Times New Roman"/>
                <w:sz w:val="24"/>
                <w:szCs w:val="24"/>
              </w:rPr>
              <w:t xml:space="preserve"> increasing over the years up to 48 in 2019, his is clearly the </w:t>
            </w:r>
            <w:r w:rsidR="00286E45" w:rsidRPr="00F15926">
              <w:rPr>
                <w:rFonts w:ascii="Times New Roman" w:hAnsi="Times New Roman"/>
                <w:sz w:val="24"/>
                <w:szCs w:val="24"/>
              </w:rPr>
              <w:t>l</w:t>
            </w:r>
            <w:r w:rsidR="00286E45">
              <w:rPr>
                <w:rFonts w:ascii="Times New Roman" w:hAnsi="Times New Roman"/>
                <w:sz w:val="24"/>
                <w:szCs w:val="24"/>
              </w:rPr>
              <w:t>eader</w:t>
            </w:r>
            <w:r w:rsidR="00286E45" w:rsidRPr="00F15926">
              <w:rPr>
                <w:rFonts w:ascii="Times New Roman" w:hAnsi="Times New Roman"/>
                <w:sz w:val="24"/>
                <w:szCs w:val="24"/>
              </w:rPr>
              <w:t xml:space="preserve"> </w:t>
            </w:r>
            <w:r w:rsidRPr="00F15926">
              <w:rPr>
                <w:rFonts w:ascii="Times New Roman" w:hAnsi="Times New Roman"/>
                <w:sz w:val="24"/>
                <w:szCs w:val="24"/>
              </w:rPr>
              <w:t>in cardiovascular medicine in his country (see Figure 7).</w:t>
            </w:r>
          </w:p>
          <w:p w14:paraId="3ADFBFEA" w14:textId="77777777" w:rsidR="00F15926" w:rsidRPr="00F15926" w:rsidRDefault="00F15926" w:rsidP="003672BA">
            <w:pPr>
              <w:pStyle w:val="Odstavecseseznamem"/>
              <w:ind w:right="93"/>
              <w:rPr>
                <w:rFonts w:ascii="Times New Roman" w:hAnsi="Times New Roman"/>
                <w:sz w:val="24"/>
                <w:szCs w:val="24"/>
              </w:rPr>
            </w:pPr>
          </w:p>
          <w:p w14:paraId="34D240F6" w14:textId="77777777" w:rsidR="00F15926" w:rsidRPr="00F15926" w:rsidRDefault="00F15926" w:rsidP="003672BA">
            <w:pPr>
              <w:pStyle w:val="Odstavecseseznamem"/>
              <w:ind w:right="93"/>
              <w:rPr>
                <w:rFonts w:ascii="Times New Roman" w:hAnsi="Times New Roman"/>
                <w:sz w:val="24"/>
                <w:szCs w:val="24"/>
              </w:rPr>
            </w:pPr>
            <w:r w:rsidRPr="00F15926">
              <w:rPr>
                <w:rFonts w:ascii="Times New Roman" w:hAnsi="Times New Roman"/>
                <w:noProof/>
                <w:sz w:val="24"/>
                <w:szCs w:val="24"/>
                <w:lang w:eastAsia="cs-CZ"/>
              </w:rPr>
              <w:lastRenderedPageBreak/>
              <w:drawing>
                <wp:inline distT="0" distB="0" distL="0" distR="0" wp14:anchorId="69743443" wp14:editId="2A05CFC0">
                  <wp:extent cx="4802114" cy="3847650"/>
                  <wp:effectExtent l="0" t="0" r="0" b="635"/>
                  <wp:docPr id="19" name="Grafik 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trWidimsk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0003" cy="3861983"/>
                          </a:xfrm>
                          <a:prstGeom prst="rect">
                            <a:avLst/>
                          </a:prstGeom>
                        </pic:spPr>
                      </pic:pic>
                    </a:graphicData>
                  </a:graphic>
                </wp:inline>
              </w:drawing>
            </w:r>
            <w:r w:rsidRPr="00F15926">
              <w:rPr>
                <w:rFonts w:ascii="Times New Roman" w:hAnsi="Times New Roman"/>
                <w:sz w:val="24"/>
                <w:szCs w:val="24"/>
              </w:rPr>
              <w:br/>
            </w:r>
            <w:r w:rsidRPr="00F15926">
              <w:rPr>
                <w:rFonts w:ascii="Times New Roman" w:hAnsi="Times New Roman"/>
                <w:b/>
                <w:bCs/>
                <w:sz w:val="24"/>
                <w:szCs w:val="24"/>
              </w:rPr>
              <w:t>Figure 7</w:t>
            </w:r>
            <w:r w:rsidRPr="00F15926">
              <w:rPr>
                <w:rFonts w:ascii="Times New Roman" w:hAnsi="Times New Roman"/>
                <w:sz w:val="24"/>
                <w:szCs w:val="24"/>
              </w:rPr>
              <w:t>: Bibliometric data of Professor Petr Widimsky</w:t>
            </w:r>
          </w:p>
          <w:p w14:paraId="0112E5C1" w14:textId="77777777" w:rsidR="00F15926" w:rsidRPr="00F15926" w:rsidRDefault="00F15926" w:rsidP="003672BA">
            <w:pPr>
              <w:pStyle w:val="Odstavecseseznamem"/>
              <w:ind w:right="93"/>
              <w:rPr>
                <w:rFonts w:ascii="Times New Roman" w:hAnsi="Times New Roman"/>
                <w:sz w:val="24"/>
                <w:szCs w:val="24"/>
              </w:rPr>
            </w:pPr>
          </w:p>
          <w:p w14:paraId="49AF65F7" w14:textId="77777777" w:rsidR="00F15926" w:rsidRPr="00F15926" w:rsidRDefault="00F15926" w:rsidP="003672BA">
            <w:pPr>
              <w:pStyle w:val="Odstavecseseznamem"/>
              <w:ind w:right="93"/>
              <w:rPr>
                <w:rFonts w:ascii="Times New Roman" w:hAnsi="Times New Roman"/>
                <w:sz w:val="24"/>
                <w:szCs w:val="24"/>
              </w:rPr>
            </w:pPr>
          </w:p>
          <w:p w14:paraId="68E783DA" w14:textId="77777777" w:rsidR="00F15926" w:rsidRPr="00F15926" w:rsidRDefault="00F15926" w:rsidP="003672BA">
            <w:pPr>
              <w:pStyle w:val="Odstavecseseznamem"/>
              <w:spacing w:after="160"/>
              <w:ind w:right="93"/>
              <w:rPr>
                <w:rFonts w:ascii="Times New Roman" w:hAnsi="Times New Roman"/>
                <w:sz w:val="24"/>
                <w:szCs w:val="24"/>
              </w:rPr>
            </w:pPr>
            <w:r w:rsidRPr="00F15926">
              <w:rPr>
                <w:rFonts w:ascii="Times New Roman" w:hAnsi="Times New Roman"/>
                <w:b/>
                <w:bCs/>
                <w:sz w:val="24"/>
                <w:szCs w:val="24"/>
              </w:rPr>
              <w:t>LFPI – Medical Faculty, Pilsen (</w:t>
            </w:r>
            <w:hyperlink r:id="rId18" w:history="1">
              <w:r w:rsidRPr="00F15926">
                <w:rPr>
                  <w:rStyle w:val="Hypertextovodkaz"/>
                  <w:rFonts w:ascii="Times New Roman" w:hAnsi="Times New Roman"/>
                  <w:b/>
                  <w:bCs/>
                  <w:sz w:val="24"/>
                  <w:szCs w:val="24"/>
                </w:rPr>
                <w:t>https://lfp.cuni.cz</w:t>
              </w:r>
            </w:hyperlink>
            <w:r w:rsidRPr="00F15926">
              <w:rPr>
                <w:rFonts w:ascii="Times New Roman" w:hAnsi="Times New Roman"/>
                <w:b/>
                <w:bCs/>
                <w:sz w:val="24"/>
                <w:szCs w:val="24"/>
              </w:rPr>
              <w:t xml:space="preserve">): </w:t>
            </w:r>
            <w:r w:rsidRPr="00E31BF7">
              <w:rPr>
                <w:rFonts w:ascii="Times New Roman" w:hAnsi="Times New Roman"/>
                <w:bCs/>
                <w:sz w:val="24"/>
                <w:szCs w:val="24"/>
              </w:rPr>
              <w:t>The</w:t>
            </w:r>
            <w:r w:rsidRPr="00F15926">
              <w:rPr>
                <w:rFonts w:ascii="Times New Roman" w:hAnsi="Times New Roman"/>
                <w:b/>
                <w:bCs/>
                <w:sz w:val="24"/>
                <w:szCs w:val="24"/>
              </w:rPr>
              <w:t xml:space="preserve"> </w:t>
            </w:r>
            <w:r w:rsidRPr="00F15926">
              <w:rPr>
                <w:rFonts w:ascii="Times New Roman" w:hAnsi="Times New Roman"/>
                <w:sz w:val="24"/>
                <w:szCs w:val="24"/>
              </w:rPr>
              <w:t xml:space="preserve">Cardiology Centre of this faculty of Charles University is located around 80 km south west of Prague, and led by Prof. </w:t>
            </w:r>
            <w:r w:rsidRPr="00F15926">
              <w:rPr>
                <w:rFonts w:ascii="Times New Roman" w:hAnsi="Times New Roman"/>
                <w:color w:val="000000" w:themeColor="text1"/>
                <w:sz w:val="24"/>
                <w:szCs w:val="24"/>
              </w:rPr>
              <w:t xml:space="preserve">Richard Rokyta. The department has 3 associate professors: </w:t>
            </w:r>
            <w:r w:rsidRPr="00F15926">
              <w:rPr>
                <w:rFonts w:ascii="Times New Roman" w:hAnsi="Times New Roman"/>
                <w:color w:val="000000"/>
                <w:sz w:val="24"/>
                <w:szCs w:val="24"/>
              </w:rPr>
              <w:t>Ivo Bernat, Milan Hromadka, and Vlastimil Vančura.</w:t>
            </w:r>
          </w:p>
          <w:p w14:paraId="7D833D81" w14:textId="77777777" w:rsidR="00F15926" w:rsidRDefault="00F15926" w:rsidP="003672BA">
            <w:pPr>
              <w:pStyle w:val="Odstavecseseznamem"/>
              <w:spacing w:after="0" w:line="360" w:lineRule="auto"/>
              <w:ind w:left="360" w:right="93"/>
              <w:jc w:val="both"/>
              <w:rPr>
                <w:rFonts w:ascii="Times New Roman" w:hAnsi="Times New Roman"/>
                <w:b/>
                <w:bCs/>
                <w:sz w:val="24"/>
                <w:szCs w:val="24"/>
                <w:lang w:val="en-GB"/>
              </w:rPr>
            </w:pPr>
          </w:p>
          <w:p w14:paraId="2ADD0C0A" w14:textId="77777777" w:rsidR="00587F53" w:rsidRDefault="00587F53" w:rsidP="003672BA">
            <w:pPr>
              <w:pStyle w:val="Odstavecseseznamem"/>
              <w:spacing w:after="0" w:line="360" w:lineRule="auto"/>
              <w:ind w:left="360" w:right="93"/>
              <w:jc w:val="both"/>
              <w:rPr>
                <w:rFonts w:ascii="Times New Roman" w:hAnsi="Times New Roman"/>
                <w:b/>
                <w:bCs/>
                <w:sz w:val="24"/>
                <w:szCs w:val="24"/>
                <w:lang w:val="en-GB"/>
              </w:rPr>
            </w:pPr>
          </w:p>
          <w:p w14:paraId="29A5D821" w14:textId="38E8A6C8" w:rsidR="00D34B56" w:rsidRPr="00853920" w:rsidRDefault="00D34B56" w:rsidP="00D34B56">
            <w:pPr>
              <w:spacing w:after="0" w:line="240" w:lineRule="auto"/>
              <w:rPr>
                <w:color w:val="000000"/>
                <w:lang w:val="en-GB"/>
              </w:rPr>
            </w:pPr>
          </w:p>
          <w:p w14:paraId="254159C7" w14:textId="31DDF61D" w:rsidR="006D1E14" w:rsidRPr="00AC72BF" w:rsidRDefault="006D1E14"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Cardiac surgery</w:t>
            </w:r>
          </w:p>
          <w:p w14:paraId="34B6CBAE" w14:textId="6B25240A" w:rsidR="006D1E14" w:rsidRPr="00AC72BF" w:rsidRDefault="006D1E14" w:rsidP="003672BA">
            <w:pPr>
              <w:spacing w:after="0"/>
              <w:ind w:right="93"/>
              <w:rPr>
                <w:rFonts w:ascii="Times New Roman" w:hAnsi="Times New Roman"/>
                <w:i/>
                <w:sz w:val="24"/>
                <w:szCs w:val="24"/>
                <w:lang w:val="en-US"/>
              </w:rPr>
            </w:pPr>
            <w:r w:rsidRPr="00AC72BF">
              <w:rPr>
                <w:rFonts w:ascii="Times New Roman" w:hAnsi="Times New Roman"/>
                <w:i/>
                <w:sz w:val="24"/>
                <w:szCs w:val="24"/>
                <w:lang w:val="en-US"/>
              </w:rPr>
              <w:t>General findings</w:t>
            </w:r>
          </w:p>
          <w:p w14:paraId="0AF089F8" w14:textId="0AE48D8B"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A total number of 70 publications are categorized as D1 publications. These were distributed between faculties as follows: 1. LF: 30 papers, 2. LF: 11 papers, 3. LF: 17 papers, LFHK: 4 papers, and LFPI 8 papers, respectively.</w:t>
            </w:r>
          </w:p>
          <w:p w14:paraId="48E9A02C"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Most cited and second most cited authors from each faculty were:</w:t>
            </w:r>
          </w:p>
          <w:p w14:paraId="45B290D9"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 Ales Linhart (5 authorships), Jan Belohlavek (3 authorships)</w:t>
            </w:r>
          </w:p>
          <w:p w14:paraId="6E6BBF01" w14:textId="5D3DF84C"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2.LF: Josef Vese</w:t>
            </w:r>
            <w:r w:rsidR="0091625E">
              <w:rPr>
                <w:rFonts w:ascii="Times New Roman" w:hAnsi="Times New Roman"/>
                <w:sz w:val="24"/>
                <w:szCs w:val="24"/>
                <w:lang w:val="en-US"/>
              </w:rPr>
              <w:t>l</w:t>
            </w:r>
            <w:r w:rsidRPr="00AC72BF">
              <w:rPr>
                <w:rFonts w:ascii="Times New Roman" w:hAnsi="Times New Roman"/>
                <w:sz w:val="24"/>
                <w:szCs w:val="24"/>
                <w:lang w:val="en-US"/>
              </w:rPr>
              <w:t>ka (3 authorships), Pavol Tomasov (2 authorships)</w:t>
            </w:r>
          </w:p>
          <w:p w14:paraId="368B71F7"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3.LF: Petr Widimsky (13 authorships), Petr Tousek (3 authorships)</w:t>
            </w:r>
          </w:p>
          <w:p w14:paraId="1E9FDA16"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LFHK: Jaroslav Dusek (2 authorships), all remaining authors (one authorship)</w:t>
            </w:r>
          </w:p>
          <w:p w14:paraId="757E5129"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 Richard Rokyta (4 authorships), Ivo Bernat and Milan Hromadka (3 authorships each)</w:t>
            </w:r>
          </w:p>
          <w:p w14:paraId="114D5897" w14:textId="77777777" w:rsidR="006D1E14" w:rsidRPr="00AC72BF" w:rsidRDefault="006D1E14" w:rsidP="003672BA">
            <w:pPr>
              <w:spacing w:after="0"/>
              <w:ind w:right="93"/>
              <w:rPr>
                <w:rFonts w:ascii="Times New Roman" w:hAnsi="Times New Roman"/>
                <w:i/>
                <w:sz w:val="24"/>
                <w:szCs w:val="24"/>
                <w:lang w:val="en-US"/>
              </w:rPr>
            </w:pPr>
            <w:r w:rsidRPr="00AC72BF">
              <w:rPr>
                <w:rFonts w:ascii="Times New Roman" w:hAnsi="Times New Roman"/>
                <w:i/>
                <w:sz w:val="24"/>
                <w:szCs w:val="24"/>
                <w:lang w:val="en-US"/>
              </w:rPr>
              <w:t>“Flagship authors”</w:t>
            </w:r>
          </w:p>
          <w:p w14:paraId="0B58BEBB" w14:textId="0067A2B8"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It can be assumed, that Ales Linhart (1.LF)</w:t>
            </w:r>
            <w:r w:rsidR="001D0B8C">
              <w:rPr>
                <w:rFonts w:ascii="Times New Roman" w:hAnsi="Times New Roman"/>
                <w:sz w:val="24"/>
                <w:szCs w:val="24"/>
                <w:lang w:val="en-US"/>
              </w:rPr>
              <w:t>,</w:t>
            </w:r>
            <w:r w:rsidRPr="00AC72BF">
              <w:rPr>
                <w:rFonts w:ascii="Times New Roman" w:hAnsi="Times New Roman"/>
                <w:sz w:val="24"/>
                <w:szCs w:val="24"/>
                <w:lang w:val="en-US"/>
              </w:rPr>
              <w:t xml:space="preserve"> with 329 publications (308 PubMed listed) and 6,927 citations can be termed as one leading researcher. In addition, Petr Widimsky with 431 PubMed listed publications from 3.LF is clearly a leading researcher, </w:t>
            </w:r>
            <w:r w:rsidR="001D0B8C">
              <w:rPr>
                <w:rFonts w:ascii="Times New Roman" w:hAnsi="Times New Roman"/>
                <w:sz w:val="24"/>
                <w:szCs w:val="24"/>
                <w:lang w:val="en-US"/>
              </w:rPr>
              <w:t xml:space="preserve">identified as </w:t>
            </w:r>
            <w:r w:rsidRPr="00AC72BF">
              <w:rPr>
                <w:rFonts w:ascii="Times New Roman" w:hAnsi="Times New Roman"/>
                <w:sz w:val="24"/>
                <w:szCs w:val="24"/>
                <w:lang w:val="en-US"/>
              </w:rPr>
              <w:t xml:space="preserve">a co-author on 13 papers. From LFPI, Richard Rokyta (89 PubMed listed publications) is involved in most of the top ten publications from his center. </w:t>
            </w:r>
            <w:r w:rsidR="001D0B8C">
              <w:rPr>
                <w:rFonts w:ascii="Times New Roman" w:hAnsi="Times New Roman"/>
                <w:sz w:val="24"/>
                <w:szCs w:val="24"/>
                <w:lang w:val="en-US"/>
              </w:rPr>
              <w:t xml:space="preserve">The Second Faculty of Medicine and </w:t>
            </w:r>
            <w:r w:rsidRPr="00AC72BF">
              <w:rPr>
                <w:rFonts w:ascii="Times New Roman" w:hAnsi="Times New Roman"/>
                <w:sz w:val="24"/>
                <w:szCs w:val="24"/>
                <w:lang w:val="en-US"/>
              </w:rPr>
              <w:t xml:space="preserve"> LFHK </w:t>
            </w:r>
            <w:r w:rsidR="001D0B8C">
              <w:rPr>
                <w:rFonts w:ascii="Times New Roman" w:hAnsi="Times New Roman"/>
                <w:sz w:val="24"/>
                <w:szCs w:val="24"/>
                <w:lang w:val="en-US"/>
              </w:rPr>
              <w:t>had few publications and no clear leader in research.</w:t>
            </w:r>
          </w:p>
          <w:p w14:paraId="7782464A" w14:textId="77777777" w:rsidR="006D1E14" w:rsidRPr="00AC72BF" w:rsidRDefault="006D1E14" w:rsidP="003672BA">
            <w:pPr>
              <w:spacing w:after="0" w:line="240" w:lineRule="auto"/>
              <w:ind w:right="93"/>
              <w:rPr>
                <w:rFonts w:ascii="Times New Roman" w:hAnsi="Times New Roman"/>
                <w:i/>
                <w:sz w:val="24"/>
                <w:szCs w:val="24"/>
                <w:lang w:val="en-US"/>
              </w:rPr>
            </w:pPr>
            <w:r w:rsidRPr="00AC72BF">
              <w:rPr>
                <w:rFonts w:ascii="Times New Roman" w:hAnsi="Times New Roman"/>
                <w:i/>
                <w:sz w:val="24"/>
                <w:szCs w:val="24"/>
                <w:lang w:val="en-US"/>
              </w:rPr>
              <w:t>Authorship</w:t>
            </w:r>
          </w:p>
          <w:p w14:paraId="40B34B73" w14:textId="50E375B5"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Analysis of publications revealed that 1.LF followed by 3.LF and 2.LF are the </w:t>
            </w:r>
            <w:r w:rsidR="001D0B8C">
              <w:rPr>
                <w:rFonts w:ascii="Times New Roman" w:hAnsi="Times New Roman"/>
                <w:sz w:val="24"/>
                <w:szCs w:val="24"/>
                <w:lang w:val="en-US"/>
              </w:rPr>
              <w:t>leaders in</w:t>
            </w:r>
            <w:r w:rsidRPr="00AC72BF">
              <w:rPr>
                <w:rFonts w:ascii="Times New Roman" w:hAnsi="Times New Roman"/>
                <w:sz w:val="24"/>
                <w:szCs w:val="24"/>
                <w:lang w:val="en-US"/>
              </w:rPr>
              <w:t xml:space="preserve"> publications</w:t>
            </w:r>
            <w:r w:rsidR="001D0B8C">
              <w:rPr>
                <w:rFonts w:ascii="Times New Roman" w:hAnsi="Times New Roman"/>
                <w:sz w:val="24"/>
                <w:szCs w:val="24"/>
                <w:lang w:val="en-US"/>
              </w:rPr>
              <w:t xml:space="preserve"> in the top 10%</w:t>
            </w:r>
            <w:r w:rsidRPr="00AC72BF">
              <w:rPr>
                <w:rFonts w:ascii="Times New Roman" w:hAnsi="Times New Roman"/>
                <w:sz w:val="24"/>
                <w:szCs w:val="24"/>
                <w:lang w:val="en-US"/>
              </w:rPr>
              <w:t xml:space="preserve">. In the majority of cases, the different faculties were involved in </w:t>
            </w:r>
            <w:r w:rsidR="001D0B8C">
              <w:rPr>
                <w:rFonts w:ascii="Times New Roman" w:hAnsi="Times New Roman"/>
                <w:sz w:val="24"/>
                <w:szCs w:val="24"/>
                <w:lang w:val="en-US"/>
              </w:rPr>
              <w:t xml:space="preserve">international, </w:t>
            </w:r>
            <w:r w:rsidRPr="00AC72BF">
              <w:rPr>
                <w:rFonts w:ascii="Times New Roman" w:hAnsi="Times New Roman"/>
                <w:sz w:val="24"/>
                <w:szCs w:val="24"/>
                <w:lang w:val="en-US"/>
              </w:rPr>
              <w:t>multicenter studies</w:t>
            </w:r>
            <w:r w:rsidR="001D0B8C">
              <w:rPr>
                <w:rFonts w:ascii="Times New Roman" w:hAnsi="Times New Roman"/>
                <w:sz w:val="24"/>
                <w:szCs w:val="24"/>
                <w:lang w:val="en-US"/>
              </w:rPr>
              <w:t>, with many publications that included authors from different CUNI faculties.</w:t>
            </w:r>
            <w:r w:rsidRPr="00AC72BF">
              <w:rPr>
                <w:rFonts w:ascii="Times New Roman" w:hAnsi="Times New Roman"/>
                <w:sz w:val="24"/>
                <w:szCs w:val="24"/>
                <w:lang w:val="en-US"/>
              </w:rPr>
              <w:t>. It is also</w:t>
            </w:r>
            <w:r w:rsidR="001D0B8C">
              <w:rPr>
                <w:rFonts w:ascii="Times New Roman" w:hAnsi="Times New Roman"/>
                <w:sz w:val="24"/>
                <w:szCs w:val="24"/>
                <w:lang w:val="en-US"/>
              </w:rPr>
              <w:t xml:space="preserve"> clear that in the majority of publications only one CUNI author is cited, reflecting the international, mulci-center nature of </w:t>
            </w:r>
            <w:r w:rsidR="001D0B8C">
              <w:rPr>
                <w:rFonts w:ascii="Times New Roman" w:hAnsi="Times New Roman"/>
                <w:sz w:val="24"/>
                <w:szCs w:val="24"/>
                <w:lang w:val="en-US"/>
              </w:rPr>
              <w:lastRenderedPageBreak/>
              <w:t>these publications and the fact that these “flagship authors”are working closely with other</w:t>
            </w:r>
            <w:r w:rsidRPr="00AC72BF">
              <w:rPr>
                <w:rFonts w:ascii="Times New Roman" w:hAnsi="Times New Roman"/>
                <w:sz w:val="24"/>
                <w:szCs w:val="24"/>
                <w:lang w:val="en-US"/>
              </w:rPr>
              <w:t xml:space="preserve"> international institutions, societies or boards (table 1).</w:t>
            </w:r>
          </w:p>
          <w:p w14:paraId="3962554B" w14:textId="20F05DE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The number of</w:t>
            </w:r>
            <w:r w:rsidR="000F0BFA">
              <w:rPr>
                <w:rFonts w:ascii="Times New Roman" w:hAnsi="Times New Roman"/>
                <w:sz w:val="24"/>
                <w:szCs w:val="24"/>
                <w:lang w:val="en-US"/>
              </w:rPr>
              <w:t xml:space="preserve"> publications of</w:t>
            </w:r>
            <w:r w:rsidRPr="00AC72BF">
              <w:rPr>
                <w:rFonts w:ascii="Times New Roman" w:hAnsi="Times New Roman"/>
                <w:sz w:val="24"/>
                <w:szCs w:val="24"/>
                <w:lang w:val="en-US"/>
              </w:rPr>
              <w:t xml:space="preserve"> primarily institutional research</w:t>
            </w:r>
            <w:r w:rsidR="000F0BFA">
              <w:rPr>
                <w:rFonts w:ascii="Times New Roman" w:hAnsi="Times New Roman"/>
                <w:sz w:val="24"/>
                <w:szCs w:val="24"/>
                <w:lang w:val="en-US"/>
              </w:rPr>
              <w:t xml:space="preserve"> and the number of researchers identified in a specific department is small</w:t>
            </w:r>
            <w:r w:rsidRPr="00AC72BF">
              <w:rPr>
                <w:rFonts w:ascii="Times New Roman" w:hAnsi="Times New Roman"/>
                <w:sz w:val="24"/>
                <w:szCs w:val="24"/>
                <w:lang w:val="en-US"/>
              </w:rPr>
              <w:t xml:space="preserve"> (</w:t>
            </w:r>
            <w:r w:rsidR="000F0BFA">
              <w:rPr>
                <w:rFonts w:ascii="Times New Roman" w:hAnsi="Times New Roman"/>
                <w:sz w:val="24"/>
                <w:szCs w:val="24"/>
                <w:lang w:val="en-US"/>
              </w:rPr>
              <w:t>T</w:t>
            </w:r>
            <w:r w:rsidRPr="00AC72BF">
              <w:rPr>
                <w:rFonts w:ascii="Times New Roman" w:hAnsi="Times New Roman"/>
                <w:sz w:val="24"/>
                <w:szCs w:val="24"/>
                <w:lang w:val="en-US"/>
              </w:rPr>
              <w:t>able 2).</w:t>
            </w:r>
          </w:p>
          <w:p w14:paraId="5CFE6D24" w14:textId="4A5EA620" w:rsidR="006D1E14" w:rsidRPr="00AC72BF" w:rsidRDefault="006D1E14" w:rsidP="003672BA">
            <w:pPr>
              <w:ind w:right="93"/>
              <w:rPr>
                <w:rFonts w:ascii="Times New Roman" w:hAnsi="Times New Roman"/>
                <w:i/>
                <w:sz w:val="24"/>
                <w:szCs w:val="24"/>
                <w:lang w:val="en-US"/>
              </w:rPr>
            </w:pPr>
            <w:r w:rsidRPr="00AC72BF">
              <w:rPr>
                <w:rFonts w:ascii="Times New Roman" w:hAnsi="Times New Roman"/>
                <w:i/>
                <w:sz w:val="24"/>
                <w:szCs w:val="24"/>
                <w:lang w:val="en-US"/>
              </w:rPr>
              <w:t>Authorship from each faculty (focus: multicenter publications)</w:t>
            </w:r>
          </w:p>
          <w:tbl>
            <w:tblPr>
              <w:tblStyle w:val="Mkatabulky"/>
              <w:tblW w:w="0" w:type="auto"/>
              <w:tblLook w:val="04A0" w:firstRow="1" w:lastRow="0" w:firstColumn="1" w:lastColumn="0" w:noHBand="0" w:noVBand="1"/>
            </w:tblPr>
            <w:tblGrid>
              <w:gridCol w:w="1077"/>
              <w:gridCol w:w="1008"/>
              <w:gridCol w:w="1209"/>
              <w:gridCol w:w="1209"/>
              <w:gridCol w:w="1091"/>
              <w:gridCol w:w="1134"/>
              <w:gridCol w:w="1128"/>
            </w:tblGrid>
            <w:tr w:rsidR="006D1E14" w:rsidRPr="00AC72BF" w14:paraId="66DD8207" w14:textId="77777777" w:rsidTr="006D5183">
              <w:tc>
                <w:tcPr>
                  <w:tcW w:w="1077" w:type="dxa"/>
                </w:tcPr>
                <w:p w14:paraId="27ADD48C" w14:textId="77777777" w:rsidR="006D1E14" w:rsidRPr="00AC72BF" w:rsidRDefault="006D1E14" w:rsidP="003672BA">
                  <w:pPr>
                    <w:ind w:right="93"/>
                    <w:rPr>
                      <w:rFonts w:ascii="Times New Roman" w:hAnsi="Times New Roman"/>
                      <w:sz w:val="24"/>
                      <w:szCs w:val="24"/>
                      <w:lang w:val="en-US"/>
                    </w:rPr>
                  </w:pPr>
                </w:p>
              </w:tc>
              <w:tc>
                <w:tcPr>
                  <w:tcW w:w="1008" w:type="dxa"/>
                </w:tcPr>
                <w:p w14:paraId="52BFC9DD" w14:textId="77777777" w:rsidR="006D1E14" w:rsidRPr="00AC72BF" w:rsidRDefault="006D1E14" w:rsidP="003672BA">
                  <w:pPr>
                    <w:ind w:right="93"/>
                    <w:jc w:val="center"/>
                    <w:rPr>
                      <w:rFonts w:ascii="Times New Roman" w:hAnsi="Times New Roman"/>
                      <w:sz w:val="24"/>
                      <w:szCs w:val="24"/>
                      <w:lang w:val="en-US"/>
                    </w:rPr>
                  </w:pPr>
                </w:p>
                <w:p w14:paraId="22AFF64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Total number of publications</w:t>
                  </w:r>
                </w:p>
              </w:tc>
              <w:tc>
                <w:tcPr>
                  <w:tcW w:w="1175" w:type="dxa"/>
                </w:tcPr>
                <w:p w14:paraId="5388F211" w14:textId="77777777" w:rsidR="006D1E14" w:rsidRPr="00AC72BF" w:rsidRDefault="006D1E14" w:rsidP="003672BA">
                  <w:pPr>
                    <w:ind w:right="93"/>
                    <w:jc w:val="center"/>
                    <w:rPr>
                      <w:rFonts w:ascii="Times New Roman" w:hAnsi="Times New Roman"/>
                      <w:color w:val="FF0000"/>
                      <w:sz w:val="24"/>
                      <w:szCs w:val="24"/>
                      <w:lang w:val="en-US"/>
                    </w:rPr>
                  </w:pPr>
                </w:p>
                <w:p w14:paraId="47BB46F3"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Multicenter</w:t>
                  </w:r>
                </w:p>
                <w:p w14:paraId="769DAAC5"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(n)</w:t>
                  </w:r>
                </w:p>
              </w:tc>
              <w:tc>
                <w:tcPr>
                  <w:tcW w:w="1091" w:type="dxa"/>
                </w:tcPr>
                <w:p w14:paraId="19AD473F" w14:textId="77777777" w:rsidR="006D1E14" w:rsidRPr="00AC72BF" w:rsidRDefault="006D1E14" w:rsidP="003672BA">
                  <w:pPr>
                    <w:ind w:right="93"/>
                    <w:jc w:val="center"/>
                    <w:rPr>
                      <w:rFonts w:ascii="Times New Roman" w:hAnsi="Times New Roman"/>
                      <w:sz w:val="24"/>
                      <w:szCs w:val="24"/>
                      <w:lang w:val="en-US"/>
                    </w:rPr>
                  </w:pPr>
                </w:p>
                <w:p w14:paraId="27930325"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Only one author from department</w:t>
                  </w:r>
                </w:p>
                <w:p w14:paraId="4DEC7250"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tc>
              <w:tc>
                <w:tcPr>
                  <w:tcW w:w="1091" w:type="dxa"/>
                </w:tcPr>
                <w:p w14:paraId="02EA5908" w14:textId="77777777" w:rsidR="006D1E14" w:rsidRPr="00AC72BF" w:rsidRDefault="006D1E14" w:rsidP="003672BA">
                  <w:pPr>
                    <w:ind w:right="93"/>
                    <w:jc w:val="center"/>
                    <w:rPr>
                      <w:rFonts w:ascii="Times New Roman" w:hAnsi="Times New Roman"/>
                      <w:sz w:val="24"/>
                      <w:szCs w:val="24"/>
                      <w:lang w:val="en-US"/>
                    </w:rPr>
                  </w:pPr>
                </w:p>
                <w:p w14:paraId="736645F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First Author</w:t>
                  </w:r>
                </w:p>
                <w:p w14:paraId="35963E0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 %)</w:t>
                  </w:r>
                </w:p>
              </w:tc>
              <w:tc>
                <w:tcPr>
                  <w:tcW w:w="1134" w:type="dxa"/>
                </w:tcPr>
                <w:p w14:paraId="5FD6F067" w14:textId="77777777" w:rsidR="006D1E14" w:rsidRPr="00AC72BF" w:rsidRDefault="006D1E14" w:rsidP="003672BA">
                  <w:pPr>
                    <w:ind w:right="93"/>
                    <w:jc w:val="center"/>
                    <w:rPr>
                      <w:rFonts w:ascii="Times New Roman" w:hAnsi="Times New Roman"/>
                      <w:sz w:val="24"/>
                      <w:szCs w:val="24"/>
                      <w:lang w:val="en-US"/>
                    </w:rPr>
                  </w:pPr>
                </w:p>
                <w:p w14:paraId="53D1996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Senior Author</w:t>
                  </w:r>
                </w:p>
                <w:p w14:paraId="2AF6D32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p w14:paraId="5A0FEECA" w14:textId="77777777" w:rsidR="006D1E14" w:rsidRPr="00AC72BF" w:rsidRDefault="006D1E14" w:rsidP="003672BA">
                  <w:pPr>
                    <w:ind w:right="93"/>
                    <w:jc w:val="center"/>
                    <w:rPr>
                      <w:rFonts w:ascii="Times New Roman" w:hAnsi="Times New Roman"/>
                      <w:sz w:val="24"/>
                      <w:szCs w:val="24"/>
                      <w:lang w:val="en-US"/>
                    </w:rPr>
                  </w:pPr>
                </w:p>
              </w:tc>
              <w:tc>
                <w:tcPr>
                  <w:tcW w:w="1128" w:type="dxa"/>
                </w:tcPr>
                <w:p w14:paraId="304890E1" w14:textId="77777777" w:rsidR="006D1E14" w:rsidRPr="00AC72BF" w:rsidRDefault="006D1E14" w:rsidP="003672BA">
                  <w:pPr>
                    <w:ind w:right="93"/>
                    <w:jc w:val="center"/>
                    <w:rPr>
                      <w:rFonts w:ascii="Times New Roman" w:hAnsi="Times New Roman"/>
                      <w:sz w:val="24"/>
                      <w:szCs w:val="24"/>
                      <w:lang w:val="en-US"/>
                    </w:rPr>
                  </w:pPr>
                </w:p>
                <w:p w14:paraId="6AEAC4E1"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More than one author from department</w:t>
                  </w:r>
                </w:p>
                <w:p w14:paraId="4B8FCDF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tc>
            </w:tr>
            <w:tr w:rsidR="006D1E14" w:rsidRPr="00AC72BF" w14:paraId="2DF6621F" w14:textId="77777777" w:rsidTr="006D5183">
              <w:tc>
                <w:tcPr>
                  <w:tcW w:w="1077" w:type="dxa"/>
                </w:tcPr>
                <w:p w14:paraId="5AD225B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w:t>
                  </w:r>
                </w:p>
              </w:tc>
              <w:tc>
                <w:tcPr>
                  <w:tcW w:w="1008" w:type="dxa"/>
                </w:tcPr>
                <w:p w14:paraId="4AFD381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30</w:t>
                  </w:r>
                </w:p>
              </w:tc>
              <w:tc>
                <w:tcPr>
                  <w:tcW w:w="1175" w:type="dxa"/>
                </w:tcPr>
                <w:p w14:paraId="6F5DB20E"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26</w:t>
                  </w:r>
                  <w:r w:rsidRPr="00AC72BF">
                    <w:rPr>
                      <w:rFonts w:ascii="Times New Roman" w:hAnsi="Times New Roman"/>
                      <w:color w:val="FF0000"/>
                      <w:sz w:val="24"/>
                      <w:szCs w:val="24"/>
                      <w:lang w:val="en-US"/>
                    </w:rPr>
                    <w:br/>
                    <w:t xml:space="preserve">(86.7%) </w:t>
                  </w:r>
                </w:p>
                <w:p w14:paraId="7884ABE8" w14:textId="77777777" w:rsidR="006D1E14" w:rsidRPr="00AC72BF" w:rsidRDefault="006D1E14" w:rsidP="003672BA">
                  <w:pPr>
                    <w:ind w:right="93"/>
                    <w:jc w:val="center"/>
                    <w:rPr>
                      <w:rFonts w:ascii="Times New Roman" w:hAnsi="Times New Roman"/>
                      <w:color w:val="FF0000"/>
                      <w:sz w:val="24"/>
                      <w:szCs w:val="24"/>
                      <w:lang w:val="en-US"/>
                    </w:rPr>
                  </w:pPr>
                </w:p>
              </w:tc>
              <w:tc>
                <w:tcPr>
                  <w:tcW w:w="1091" w:type="dxa"/>
                </w:tcPr>
                <w:p w14:paraId="14C3E7F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23 (76.7%)</w:t>
                  </w:r>
                </w:p>
              </w:tc>
              <w:tc>
                <w:tcPr>
                  <w:tcW w:w="1091" w:type="dxa"/>
                </w:tcPr>
                <w:p w14:paraId="3AA75609"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 xml:space="preserve">2 </w:t>
                  </w:r>
                </w:p>
                <w:p w14:paraId="409C668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(6.7%)</w:t>
                  </w:r>
                </w:p>
              </w:tc>
              <w:tc>
                <w:tcPr>
                  <w:tcW w:w="1134" w:type="dxa"/>
                </w:tcPr>
                <w:p w14:paraId="4B16C314"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w:t>
                  </w:r>
                </w:p>
                <w:p w14:paraId="4346B54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(6.7%)</w:t>
                  </w:r>
                </w:p>
              </w:tc>
              <w:tc>
                <w:tcPr>
                  <w:tcW w:w="1128" w:type="dxa"/>
                </w:tcPr>
                <w:p w14:paraId="0AA5248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w:t>
                  </w:r>
                </w:p>
                <w:p w14:paraId="7C784B8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(10.0%)</w:t>
                  </w:r>
                </w:p>
              </w:tc>
            </w:tr>
            <w:tr w:rsidR="006D1E14" w:rsidRPr="00AC72BF" w14:paraId="3A1DEAAD" w14:textId="77777777" w:rsidTr="006D5183">
              <w:tc>
                <w:tcPr>
                  <w:tcW w:w="1077" w:type="dxa"/>
                </w:tcPr>
                <w:p w14:paraId="601EFE46"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2.LF</w:t>
                  </w:r>
                </w:p>
              </w:tc>
              <w:tc>
                <w:tcPr>
                  <w:tcW w:w="1008" w:type="dxa"/>
                </w:tcPr>
                <w:p w14:paraId="200DBA6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11</w:t>
                  </w:r>
                </w:p>
              </w:tc>
              <w:tc>
                <w:tcPr>
                  <w:tcW w:w="1175" w:type="dxa"/>
                </w:tcPr>
                <w:p w14:paraId="49B55F6E"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8</w:t>
                  </w:r>
                </w:p>
                <w:p w14:paraId="4E1AE084"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(72.7%)</w:t>
                  </w:r>
                </w:p>
              </w:tc>
              <w:tc>
                <w:tcPr>
                  <w:tcW w:w="1091" w:type="dxa"/>
                </w:tcPr>
                <w:p w14:paraId="782414D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1B3FB99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(36.4%)</w:t>
                  </w:r>
                </w:p>
              </w:tc>
              <w:tc>
                <w:tcPr>
                  <w:tcW w:w="1091" w:type="dxa"/>
                </w:tcPr>
                <w:p w14:paraId="76BEE47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w:t>
                  </w:r>
                </w:p>
                <w:p w14:paraId="1450701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(27.3%)</w:t>
                  </w:r>
                </w:p>
              </w:tc>
              <w:tc>
                <w:tcPr>
                  <w:tcW w:w="1134" w:type="dxa"/>
                </w:tcPr>
                <w:p w14:paraId="6CE8224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28" w:type="dxa"/>
                </w:tcPr>
                <w:p w14:paraId="2078D3E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5666A03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(36.4%)</w:t>
                  </w:r>
                </w:p>
              </w:tc>
            </w:tr>
            <w:tr w:rsidR="006D1E14" w:rsidRPr="00AC72BF" w14:paraId="37D10B9B" w14:textId="77777777" w:rsidTr="006D5183">
              <w:tc>
                <w:tcPr>
                  <w:tcW w:w="1077" w:type="dxa"/>
                </w:tcPr>
                <w:p w14:paraId="28C0B04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3.LF</w:t>
                  </w:r>
                </w:p>
              </w:tc>
              <w:tc>
                <w:tcPr>
                  <w:tcW w:w="1008" w:type="dxa"/>
                </w:tcPr>
                <w:p w14:paraId="0336C3C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17</w:t>
                  </w:r>
                </w:p>
              </w:tc>
              <w:tc>
                <w:tcPr>
                  <w:tcW w:w="1175" w:type="dxa"/>
                </w:tcPr>
                <w:p w14:paraId="670136B4"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17</w:t>
                  </w:r>
                </w:p>
                <w:p w14:paraId="349C84F0"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lastRenderedPageBreak/>
                    <w:t>(100.0%)</w:t>
                  </w:r>
                </w:p>
              </w:tc>
              <w:tc>
                <w:tcPr>
                  <w:tcW w:w="1091" w:type="dxa"/>
                </w:tcPr>
                <w:p w14:paraId="73A4CB1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11</w:t>
                  </w:r>
                </w:p>
                <w:p w14:paraId="141044BE"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(64.7%)</w:t>
                  </w:r>
                </w:p>
              </w:tc>
              <w:tc>
                <w:tcPr>
                  <w:tcW w:w="1091" w:type="dxa"/>
                </w:tcPr>
                <w:p w14:paraId="4F29EB9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6</w:t>
                  </w:r>
                </w:p>
                <w:p w14:paraId="163FCD09"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(35.3%)</w:t>
                  </w:r>
                </w:p>
              </w:tc>
              <w:tc>
                <w:tcPr>
                  <w:tcW w:w="1134" w:type="dxa"/>
                </w:tcPr>
                <w:p w14:paraId="28A9893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5</w:t>
                  </w:r>
                </w:p>
                <w:p w14:paraId="0B00FC1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(29.4%)</w:t>
                  </w:r>
                </w:p>
              </w:tc>
              <w:tc>
                <w:tcPr>
                  <w:tcW w:w="1128" w:type="dxa"/>
                </w:tcPr>
                <w:p w14:paraId="3FD499C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6</w:t>
                  </w:r>
                </w:p>
                <w:p w14:paraId="5A1D79A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lastRenderedPageBreak/>
                    <w:t>(35.3%)</w:t>
                  </w:r>
                </w:p>
              </w:tc>
            </w:tr>
            <w:tr w:rsidR="006D1E14" w:rsidRPr="00AC72BF" w14:paraId="74A2F689" w14:textId="77777777" w:rsidTr="006D5183">
              <w:tc>
                <w:tcPr>
                  <w:tcW w:w="1077" w:type="dxa"/>
                </w:tcPr>
                <w:p w14:paraId="69B71086"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lastRenderedPageBreak/>
                    <w:t>LFHK</w:t>
                  </w:r>
                </w:p>
              </w:tc>
              <w:tc>
                <w:tcPr>
                  <w:tcW w:w="1008" w:type="dxa"/>
                </w:tcPr>
                <w:p w14:paraId="2F01CF01"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tc>
              <w:tc>
                <w:tcPr>
                  <w:tcW w:w="1175" w:type="dxa"/>
                </w:tcPr>
                <w:p w14:paraId="736F2989"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4</w:t>
                  </w:r>
                </w:p>
                <w:p w14:paraId="0A995440"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(100.0%)</w:t>
                  </w:r>
                </w:p>
              </w:tc>
              <w:tc>
                <w:tcPr>
                  <w:tcW w:w="1091" w:type="dxa"/>
                </w:tcPr>
                <w:p w14:paraId="3741C8E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71C45154"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(100.0%)</w:t>
                  </w:r>
                </w:p>
              </w:tc>
              <w:tc>
                <w:tcPr>
                  <w:tcW w:w="1091" w:type="dxa"/>
                </w:tcPr>
                <w:p w14:paraId="1370EB7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6E05257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28" w:type="dxa"/>
                </w:tcPr>
                <w:p w14:paraId="567C2BA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r w:rsidR="006D1E14" w:rsidRPr="00AC72BF" w14:paraId="3884E14E" w14:textId="77777777" w:rsidTr="006D5183">
              <w:tc>
                <w:tcPr>
                  <w:tcW w:w="1077" w:type="dxa"/>
                </w:tcPr>
                <w:p w14:paraId="2AD8DC4F"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w:t>
                  </w:r>
                </w:p>
              </w:tc>
              <w:tc>
                <w:tcPr>
                  <w:tcW w:w="1008" w:type="dxa"/>
                </w:tcPr>
                <w:p w14:paraId="5C8883F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8</w:t>
                  </w:r>
                </w:p>
              </w:tc>
              <w:tc>
                <w:tcPr>
                  <w:tcW w:w="1175" w:type="dxa"/>
                </w:tcPr>
                <w:p w14:paraId="7C3B5638"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8</w:t>
                  </w:r>
                </w:p>
                <w:p w14:paraId="0B67AB17"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(100.0%)</w:t>
                  </w:r>
                </w:p>
              </w:tc>
              <w:tc>
                <w:tcPr>
                  <w:tcW w:w="1091" w:type="dxa"/>
                </w:tcPr>
                <w:p w14:paraId="231B57D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6B06903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(50.0%)</w:t>
                  </w:r>
                </w:p>
              </w:tc>
              <w:tc>
                <w:tcPr>
                  <w:tcW w:w="1091" w:type="dxa"/>
                </w:tcPr>
                <w:p w14:paraId="75D6E95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w:t>
                  </w:r>
                </w:p>
                <w:p w14:paraId="50C28F5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(12.5%)</w:t>
                  </w:r>
                </w:p>
              </w:tc>
              <w:tc>
                <w:tcPr>
                  <w:tcW w:w="1134" w:type="dxa"/>
                </w:tcPr>
                <w:p w14:paraId="5301C34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w:t>
                  </w:r>
                </w:p>
                <w:p w14:paraId="05ACC63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(12.5%)</w:t>
                  </w:r>
                </w:p>
              </w:tc>
              <w:tc>
                <w:tcPr>
                  <w:tcW w:w="1128" w:type="dxa"/>
                </w:tcPr>
                <w:p w14:paraId="503C325F"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p w14:paraId="306547E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(50.0%)</w:t>
                  </w:r>
                </w:p>
              </w:tc>
            </w:tr>
          </w:tbl>
          <w:p w14:paraId="5CC44C7E" w14:textId="77777777" w:rsidR="006D1E14" w:rsidRPr="00AC72BF" w:rsidRDefault="006D1E14" w:rsidP="003672BA">
            <w:pPr>
              <w:ind w:right="93"/>
              <w:rPr>
                <w:rFonts w:ascii="Times New Roman" w:hAnsi="Times New Roman"/>
                <w:sz w:val="24"/>
                <w:szCs w:val="24"/>
                <w:lang w:val="en-US"/>
              </w:rPr>
            </w:pPr>
          </w:p>
          <w:p w14:paraId="25970672" w14:textId="2BE724CB" w:rsidR="006D1E14" w:rsidRPr="00AC72BF" w:rsidRDefault="006D1E14" w:rsidP="003672BA">
            <w:pPr>
              <w:ind w:right="93"/>
              <w:rPr>
                <w:rFonts w:ascii="Times New Roman" w:hAnsi="Times New Roman"/>
                <w:i/>
                <w:sz w:val="24"/>
                <w:szCs w:val="24"/>
                <w:lang w:val="en-US"/>
              </w:rPr>
            </w:pPr>
            <w:r w:rsidRPr="00AC72BF">
              <w:rPr>
                <w:rFonts w:ascii="Times New Roman" w:hAnsi="Times New Roman"/>
                <w:i/>
                <w:sz w:val="24"/>
                <w:szCs w:val="24"/>
                <w:lang w:val="en-US"/>
              </w:rPr>
              <w:t>Authorship from each faculty (focus: institutional publications)</w:t>
            </w:r>
          </w:p>
          <w:p w14:paraId="2DDF05E0" w14:textId="77777777" w:rsidR="006D1E14" w:rsidRPr="00AC72BF" w:rsidRDefault="006D1E14" w:rsidP="003672BA">
            <w:pPr>
              <w:ind w:right="93"/>
              <w:rPr>
                <w:rFonts w:ascii="Times New Roman" w:hAnsi="Times New Roman"/>
                <w:sz w:val="24"/>
                <w:szCs w:val="24"/>
                <w:lang w:val="en-US"/>
              </w:rPr>
            </w:pPr>
          </w:p>
          <w:tbl>
            <w:tblPr>
              <w:tblStyle w:val="Mkatabulky"/>
              <w:tblW w:w="0" w:type="auto"/>
              <w:tblLook w:val="04A0" w:firstRow="1" w:lastRow="0" w:firstColumn="1" w:lastColumn="0" w:noHBand="0" w:noVBand="1"/>
            </w:tblPr>
            <w:tblGrid>
              <w:gridCol w:w="1077"/>
              <w:gridCol w:w="1008"/>
              <w:gridCol w:w="1111"/>
              <w:gridCol w:w="1091"/>
              <w:gridCol w:w="1134"/>
            </w:tblGrid>
            <w:tr w:rsidR="006D1E14" w:rsidRPr="00AC72BF" w14:paraId="1D193B49" w14:textId="77777777" w:rsidTr="006D5183">
              <w:tc>
                <w:tcPr>
                  <w:tcW w:w="1077" w:type="dxa"/>
                </w:tcPr>
                <w:p w14:paraId="5FF140A2" w14:textId="77777777" w:rsidR="006D1E14" w:rsidRPr="00AC72BF" w:rsidRDefault="006D1E14" w:rsidP="003672BA">
                  <w:pPr>
                    <w:ind w:right="93"/>
                    <w:rPr>
                      <w:rFonts w:ascii="Times New Roman" w:hAnsi="Times New Roman"/>
                      <w:sz w:val="24"/>
                      <w:szCs w:val="24"/>
                      <w:lang w:val="en-US"/>
                    </w:rPr>
                  </w:pPr>
                </w:p>
              </w:tc>
              <w:tc>
                <w:tcPr>
                  <w:tcW w:w="1008" w:type="dxa"/>
                </w:tcPr>
                <w:p w14:paraId="45497406" w14:textId="77777777" w:rsidR="006D1E14" w:rsidRPr="00AC72BF" w:rsidRDefault="006D1E14" w:rsidP="003672BA">
                  <w:pPr>
                    <w:ind w:right="93"/>
                    <w:jc w:val="center"/>
                    <w:rPr>
                      <w:rFonts w:ascii="Times New Roman" w:hAnsi="Times New Roman"/>
                      <w:sz w:val="24"/>
                      <w:szCs w:val="24"/>
                      <w:lang w:val="en-US"/>
                    </w:rPr>
                  </w:pPr>
                </w:p>
                <w:p w14:paraId="2DF4D69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Total number of publications</w:t>
                  </w:r>
                </w:p>
              </w:tc>
              <w:tc>
                <w:tcPr>
                  <w:tcW w:w="1111" w:type="dxa"/>
                </w:tcPr>
                <w:p w14:paraId="24D9DCA4" w14:textId="77777777" w:rsidR="006D1E14" w:rsidRPr="00AC72BF" w:rsidRDefault="006D1E14" w:rsidP="003672BA">
                  <w:pPr>
                    <w:ind w:right="93"/>
                    <w:jc w:val="center"/>
                    <w:rPr>
                      <w:rFonts w:ascii="Times New Roman" w:hAnsi="Times New Roman"/>
                      <w:color w:val="FF0000"/>
                      <w:sz w:val="24"/>
                      <w:szCs w:val="24"/>
                      <w:lang w:val="en-US"/>
                    </w:rPr>
                  </w:pPr>
                </w:p>
                <w:p w14:paraId="54F23B5F"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Institutional publication</w:t>
                  </w:r>
                </w:p>
                <w:p w14:paraId="6BDC8366"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(n)</w:t>
                  </w:r>
                </w:p>
              </w:tc>
              <w:tc>
                <w:tcPr>
                  <w:tcW w:w="1091" w:type="dxa"/>
                </w:tcPr>
                <w:p w14:paraId="05A9E2BC" w14:textId="77777777" w:rsidR="006D1E14" w:rsidRPr="00AC72BF" w:rsidRDefault="006D1E14" w:rsidP="003672BA">
                  <w:pPr>
                    <w:ind w:right="93"/>
                    <w:jc w:val="center"/>
                    <w:rPr>
                      <w:rFonts w:ascii="Times New Roman" w:hAnsi="Times New Roman"/>
                      <w:sz w:val="24"/>
                      <w:szCs w:val="24"/>
                      <w:lang w:val="en-US"/>
                    </w:rPr>
                  </w:pPr>
                </w:p>
                <w:p w14:paraId="616BF161"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First Author</w:t>
                  </w:r>
                </w:p>
                <w:p w14:paraId="0518011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tc>
              <w:tc>
                <w:tcPr>
                  <w:tcW w:w="1134" w:type="dxa"/>
                </w:tcPr>
                <w:p w14:paraId="04EE8396" w14:textId="77777777" w:rsidR="006D1E14" w:rsidRPr="00AC72BF" w:rsidRDefault="006D1E14" w:rsidP="003672BA">
                  <w:pPr>
                    <w:ind w:right="93"/>
                    <w:jc w:val="center"/>
                    <w:rPr>
                      <w:rFonts w:ascii="Times New Roman" w:hAnsi="Times New Roman"/>
                      <w:sz w:val="24"/>
                      <w:szCs w:val="24"/>
                      <w:lang w:val="en-US"/>
                    </w:rPr>
                  </w:pPr>
                </w:p>
                <w:p w14:paraId="4D3AB5C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Senior Author</w:t>
                  </w:r>
                </w:p>
                <w:p w14:paraId="605BAA04"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(n)</w:t>
                  </w:r>
                </w:p>
                <w:p w14:paraId="379653CA" w14:textId="77777777" w:rsidR="006D1E14" w:rsidRPr="00AC72BF" w:rsidRDefault="006D1E14" w:rsidP="003672BA">
                  <w:pPr>
                    <w:ind w:right="93"/>
                    <w:jc w:val="center"/>
                    <w:rPr>
                      <w:rFonts w:ascii="Times New Roman" w:hAnsi="Times New Roman"/>
                      <w:sz w:val="24"/>
                      <w:szCs w:val="24"/>
                      <w:lang w:val="en-US"/>
                    </w:rPr>
                  </w:pPr>
                </w:p>
              </w:tc>
            </w:tr>
            <w:tr w:rsidR="006D1E14" w:rsidRPr="00AC72BF" w14:paraId="34B35A61" w14:textId="77777777" w:rsidTr="006D5183">
              <w:tc>
                <w:tcPr>
                  <w:tcW w:w="1077" w:type="dxa"/>
                </w:tcPr>
                <w:p w14:paraId="6C041D42"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w:t>
                  </w:r>
                </w:p>
              </w:tc>
              <w:tc>
                <w:tcPr>
                  <w:tcW w:w="1008" w:type="dxa"/>
                </w:tcPr>
                <w:p w14:paraId="74E36097"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30</w:t>
                  </w:r>
                </w:p>
              </w:tc>
              <w:tc>
                <w:tcPr>
                  <w:tcW w:w="1111" w:type="dxa"/>
                </w:tcPr>
                <w:p w14:paraId="51FD652F"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4</w:t>
                  </w:r>
                </w:p>
                <w:p w14:paraId="011F9E4F"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(13.3%)</w:t>
                  </w:r>
                </w:p>
              </w:tc>
              <w:tc>
                <w:tcPr>
                  <w:tcW w:w="1091" w:type="dxa"/>
                </w:tcPr>
                <w:p w14:paraId="3508F53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3</w:t>
                  </w:r>
                </w:p>
                <w:p w14:paraId="33B3575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(10.0%)</w:t>
                  </w:r>
                </w:p>
              </w:tc>
              <w:tc>
                <w:tcPr>
                  <w:tcW w:w="1134" w:type="dxa"/>
                </w:tcPr>
                <w:p w14:paraId="022B1B6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w:t>
                  </w:r>
                </w:p>
                <w:p w14:paraId="4AC64E36"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(6.7%)</w:t>
                  </w:r>
                </w:p>
              </w:tc>
            </w:tr>
            <w:tr w:rsidR="006D1E14" w:rsidRPr="00AC72BF" w14:paraId="130DACAE" w14:textId="77777777" w:rsidTr="006D5183">
              <w:tc>
                <w:tcPr>
                  <w:tcW w:w="1077" w:type="dxa"/>
                </w:tcPr>
                <w:p w14:paraId="5F9F0B7C"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2.LF</w:t>
                  </w:r>
                </w:p>
              </w:tc>
              <w:tc>
                <w:tcPr>
                  <w:tcW w:w="1008" w:type="dxa"/>
                </w:tcPr>
                <w:p w14:paraId="7388827D"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11</w:t>
                  </w:r>
                </w:p>
              </w:tc>
              <w:tc>
                <w:tcPr>
                  <w:tcW w:w="1111" w:type="dxa"/>
                </w:tcPr>
                <w:p w14:paraId="5702EB92"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3</w:t>
                  </w:r>
                </w:p>
                <w:p w14:paraId="26142B1D"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(27.35)</w:t>
                  </w:r>
                </w:p>
              </w:tc>
              <w:tc>
                <w:tcPr>
                  <w:tcW w:w="1091" w:type="dxa"/>
                </w:tcPr>
                <w:p w14:paraId="6EC6C0AA"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w:t>
                  </w:r>
                </w:p>
                <w:p w14:paraId="59DA1E63"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(9.1%)</w:t>
                  </w:r>
                </w:p>
              </w:tc>
              <w:tc>
                <w:tcPr>
                  <w:tcW w:w="1134" w:type="dxa"/>
                </w:tcPr>
                <w:p w14:paraId="1FCC93B5"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2</w:t>
                  </w:r>
                </w:p>
                <w:p w14:paraId="064B552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(18.25)</w:t>
                  </w:r>
                </w:p>
              </w:tc>
            </w:tr>
            <w:tr w:rsidR="006D1E14" w:rsidRPr="00AC72BF" w14:paraId="688FA8A3" w14:textId="77777777" w:rsidTr="006D5183">
              <w:tc>
                <w:tcPr>
                  <w:tcW w:w="1077" w:type="dxa"/>
                </w:tcPr>
                <w:p w14:paraId="0EA652F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lastRenderedPageBreak/>
                    <w:t>3.LF</w:t>
                  </w:r>
                </w:p>
              </w:tc>
              <w:tc>
                <w:tcPr>
                  <w:tcW w:w="1008" w:type="dxa"/>
                </w:tcPr>
                <w:p w14:paraId="1DC8EF8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17</w:t>
                  </w:r>
                </w:p>
              </w:tc>
              <w:tc>
                <w:tcPr>
                  <w:tcW w:w="1111" w:type="dxa"/>
                </w:tcPr>
                <w:p w14:paraId="409A9B56"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w:t>
                  </w:r>
                </w:p>
              </w:tc>
              <w:tc>
                <w:tcPr>
                  <w:tcW w:w="1091" w:type="dxa"/>
                </w:tcPr>
                <w:p w14:paraId="0646050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473C1F75"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r w:rsidR="006D1E14" w:rsidRPr="00AC72BF" w14:paraId="467AB4A3" w14:textId="77777777" w:rsidTr="006D5183">
              <w:tc>
                <w:tcPr>
                  <w:tcW w:w="1077" w:type="dxa"/>
                </w:tcPr>
                <w:p w14:paraId="6A456CF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LFHK</w:t>
                  </w:r>
                </w:p>
              </w:tc>
              <w:tc>
                <w:tcPr>
                  <w:tcW w:w="1008" w:type="dxa"/>
                </w:tcPr>
                <w:p w14:paraId="04718A29"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4</w:t>
                  </w:r>
                </w:p>
              </w:tc>
              <w:tc>
                <w:tcPr>
                  <w:tcW w:w="1111" w:type="dxa"/>
                </w:tcPr>
                <w:p w14:paraId="12CDFF3E"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w:t>
                  </w:r>
                </w:p>
              </w:tc>
              <w:tc>
                <w:tcPr>
                  <w:tcW w:w="1091" w:type="dxa"/>
                </w:tcPr>
                <w:p w14:paraId="03C5B7C8"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5328275B"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r w:rsidR="006D1E14" w:rsidRPr="00AC72BF" w14:paraId="77CA382A" w14:textId="77777777" w:rsidTr="006D5183">
              <w:tc>
                <w:tcPr>
                  <w:tcW w:w="1077" w:type="dxa"/>
                </w:tcPr>
                <w:p w14:paraId="6C709E3D"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w:t>
                  </w:r>
                </w:p>
              </w:tc>
              <w:tc>
                <w:tcPr>
                  <w:tcW w:w="1008" w:type="dxa"/>
                </w:tcPr>
                <w:p w14:paraId="37737FE0"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8</w:t>
                  </w:r>
                </w:p>
              </w:tc>
              <w:tc>
                <w:tcPr>
                  <w:tcW w:w="1111" w:type="dxa"/>
                </w:tcPr>
                <w:p w14:paraId="64FD75A3" w14:textId="77777777" w:rsidR="006D1E14" w:rsidRPr="00AC72BF" w:rsidRDefault="006D1E14" w:rsidP="003672BA">
                  <w:pPr>
                    <w:ind w:right="93"/>
                    <w:jc w:val="center"/>
                    <w:rPr>
                      <w:rFonts w:ascii="Times New Roman" w:hAnsi="Times New Roman"/>
                      <w:color w:val="FF0000"/>
                      <w:sz w:val="24"/>
                      <w:szCs w:val="24"/>
                      <w:lang w:val="en-US"/>
                    </w:rPr>
                  </w:pPr>
                  <w:r w:rsidRPr="00AC72BF">
                    <w:rPr>
                      <w:rFonts w:ascii="Times New Roman" w:hAnsi="Times New Roman"/>
                      <w:color w:val="FF0000"/>
                      <w:sz w:val="24"/>
                      <w:szCs w:val="24"/>
                      <w:lang w:val="en-US"/>
                    </w:rPr>
                    <w:t>-</w:t>
                  </w:r>
                </w:p>
              </w:tc>
              <w:tc>
                <w:tcPr>
                  <w:tcW w:w="1091" w:type="dxa"/>
                </w:tcPr>
                <w:p w14:paraId="6A96D012"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c>
                <w:tcPr>
                  <w:tcW w:w="1134" w:type="dxa"/>
                </w:tcPr>
                <w:p w14:paraId="36B924EC" w14:textId="77777777" w:rsidR="006D1E14" w:rsidRPr="00AC72BF" w:rsidRDefault="006D1E14" w:rsidP="003672BA">
                  <w:pPr>
                    <w:ind w:right="93"/>
                    <w:jc w:val="center"/>
                    <w:rPr>
                      <w:rFonts w:ascii="Times New Roman" w:hAnsi="Times New Roman"/>
                      <w:sz w:val="24"/>
                      <w:szCs w:val="24"/>
                      <w:lang w:val="en-US"/>
                    </w:rPr>
                  </w:pPr>
                  <w:r w:rsidRPr="00AC72BF">
                    <w:rPr>
                      <w:rFonts w:ascii="Times New Roman" w:hAnsi="Times New Roman"/>
                      <w:sz w:val="24"/>
                      <w:szCs w:val="24"/>
                      <w:lang w:val="en-US"/>
                    </w:rPr>
                    <w:t>-</w:t>
                  </w:r>
                </w:p>
              </w:tc>
            </w:tr>
          </w:tbl>
          <w:p w14:paraId="23D99992" w14:textId="77777777" w:rsidR="006D1E14" w:rsidRPr="00AC72BF" w:rsidRDefault="006D1E14" w:rsidP="003672BA">
            <w:pPr>
              <w:ind w:right="93"/>
              <w:rPr>
                <w:rFonts w:ascii="Times New Roman" w:hAnsi="Times New Roman"/>
                <w:sz w:val="24"/>
                <w:szCs w:val="24"/>
                <w:lang w:val="en-US"/>
              </w:rPr>
            </w:pPr>
          </w:p>
          <w:p w14:paraId="47EA3F45" w14:textId="77777777" w:rsidR="006D1E14" w:rsidRPr="00AC72BF" w:rsidRDefault="006D1E14" w:rsidP="003672BA">
            <w:pPr>
              <w:spacing w:after="0" w:line="240" w:lineRule="auto"/>
              <w:ind w:right="93"/>
              <w:rPr>
                <w:rFonts w:ascii="Times New Roman" w:hAnsi="Times New Roman"/>
                <w:i/>
                <w:sz w:val="24"/>
                <w:szCs w:val="24"/>
                <w:lang w:val="en-US"/>
              </w:rPr>
            </w:pPr>
            <w:r w:rsidRPr="00AC72BF">
              <w:rPr>
                <w:rFonts w:ascii="Times New Roman" w:hAnsi="Times New Roman"/>
                <w:i/>
                <w:sz w:val="24"/>
                <w:szCs w:val="24"/>
                <w:lang w:val="en-US"/>
              </w:rPr>
              <w:t>Research focus</w:t>
            </w:r>
          </w:p>
          <w:p w14:paraId="008A1CC0" w14:textId="77777777" w:rsidR="006D1E14" w:rsidRPr="00AC72BF" w:rsidRDefault="006D1E14" w:rsidP="003672BA">
            <w:pPr>
              <w:ind w:right="93"/>
              <w:rPr>
                <w:rFonts w:ascii="Times New Roman" w:hAnsi="Times New Roman"/>
                <w:sz w:val="24"/>
                <w:szCs w:val="24"/>
                <w:lang w:val="en-US"/>
              </w:rPr>
            </w:pPr>
          </w:p>
          <w:p w14:paraId="4D7DADB1"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Table 3 depicts the main fields of research from different faculties. Again, in the majority of cases, each faculty is involved in multicenter studies. Some foci are the same, as different faculties had been involved in the same studies. Due to the low number of publications (top ranked publications) analyzed, primary and secondary fields of research may vary from the overall focus of research of each faculty, looking at the overall output. </w:t>
            </w:r>
          </w:p>
          <w:p w14:paraId="697D4521" w14:textId="77777777" w:rsidR="006D1E14" w:rsidRPr="00AC72BF" w:rsidRDefault="006D1E14" w:rsidP="003672BA">
            <w:pPr>
              <w:ind w:right="93"/>
              <w:rPr>
                <w:rFonts w:ascii="Times New Roman" w:hAnsi="Times New Roman"/>
                <w:sz w:val="24"/>
                <w:szCs w:val="24"/>
                <w:lang w:val="en-US"/>
              </w:rPr>
            </w:pPr>
          </w:p>
          <w:p w14:paraId="05D1E287" w14:textId="0587A87B"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Furthermore, primary fields of research of one faculty </w:t>
            </w:r>
            <w:r w:rsidR="000F0BFA">
              <w:rPr>
                <w:rFonts w:ascii="Times New Roman" w:hAnsi="Times New Roman"/>
                <w:sz w:val="24"/>
                <w:szCs w:val="24"/>
                <w:lang w:val="en-US"/>
              </w:rPr>
              <w:t>are</w:t>
            </w:r>
            <w:r w:rsidRPr="00AC72BF">
              <w:rPr>
                <w:rFonts w:ascii="Times New Roman" w:hAnsi="Times New Roman"/>
                <w:sz w:val="24"/>
                <w:szCs w:val="24"/>
                <w:lang w:val="en-US"/>
              </w:rPr>
              <w:t xml:space="preserve"> often also the focus of another faculty. The added value of publications </w:t>
            </w:r>
            <w:r w:rsidR="000F0BFA">
              <w:rPr>
                <w:rFonts w:ascii="Times New Roman" w:hAnsi="Times New Roman"/>
                <w:sz w:val="24"/>
                <w:szCs w:val="24"/>
                <w:lang w:val="en-US"/>
              </w:rPr>
              <w:t xml:space="preserve">for </w:t>
            </w:r>
            <w:r w:rsidRPr="00AC72BF">
              <w:rPr>
                <w:rFonts w:ascii="Times New Roman" w:hAnsi="Times New Roman"/>
                <w:sz w:val="24"/>
                <w:szCs w:val="24"/>
                <w:lang w:val="en-US"/>
              </w:rPr>
              <w:t xml:space="preserve">each faculty with regard to the high ranked publications is limited due to the overlapping of research interests.  </w:t>
            </w:r>
          </w:p>
          <w:p w14:paraId="2CC2D3D2" w14:textId="40B25DA4" w:rsidR="006D1E14" w:rsidRPr="00AC72BF" w:rsidRDefault="006D1E14" w:rsidP="003672BA">
            <w:pPr>
              <w:ind w:right="93"/>
              <w:rPr>
                <w:rFonts w:ascii="Times New Roman" w:hAnsi="Times New Roman"/>
                <w:i/>
                <w:sz w:val="24"/>
                <w:szCs w:val="24"/>
                <w:lang w:val="en-US"/>
              </w:rPr>
            </w:pPr>
            <w:r w:rsidRPr="00AC72BF">
              <w:rPr>
                <w:rFonts w:ascii="Times New Roman" w:hAnsi="Times New Roman"/>
                <w:i/>
                <w:sz w:val="24"/>
                <w:szCs w:val="24"/>
                <w:lang w:val="en-US"/>
              </w:rPr>
              <w:tab/>
              <w:t>Main fields of research</w:t>
            </w:r>
          </w:p>
          <w:p w14:paraId="4944F229" w14:textId="77777777" w:rsidR="006D1E14" w:rsidRPr="00AC72BF" w:rsidRDefault="006D1E14" w:rsidP="003672BA">
            <w:pPr>
              <w:ind w:right="93"/>
              <w:rPr>
                <w:rFonts w:ascii="Times New Roman" w:hAnsi="Times New Roman"/>
                <w:sz w:val="24"/>
                <w:szCs w:val="24"/>
                <w:lang w:val="en-US"/>
              </w:rPr>
            </w:pPr>
          </w:p>
          <w:tbl>
            <w:tblPr>
              <w:tblStyle w:val="Mkatabulky"/>
              <w:tblW w:w="0" w:type="auto"/>
              <w:tblLook w:val="04A0" w:firstRow="1" w:lastRow="0" w:firstColumn="1" w:lastColumn="0" w:noHBand="0" w:noVBand="1"/>
            </w:tblPr>
            <w:tblGrid>
              <w:gridCol w:w="1129"/>
              <w:gridCol w:w="3261"/>
              <w:gridCol w:w="4666"/>
            </w:tblGrid>
            <w:tr w:rsidR="006D1E14" w:rsidRPr="00AC72BF" w14:paraId="1611BC53" w14:textId="77777777" w:rsidTr="006D5183">
              <w:tc>
                <w:tcPr>
                  <w:tcW w:w="1129" w:type="dxa"/>
                </w:tcPr>
                <w:p w14:paraId="750AE4AF" w14:textId="77777777" w:rsidR="006D1E14" w:rsidRPr="00AC72BF" w:rsidRDefault="006D1E14" w:rsidP="003672BA">
                  <w:pPr>
                    <w:ind w:right="93"/>
                    <w:rPr>
                      <w:rFonts w:ascii="Times New Roman" w:hAnsi="Times New Roman"/>
                      <w:sz w:val="24"/>
                      <w:szCs w:val="24"/>
                      <w:lang w:val="en-US"/>
                    </w:rPr>
                  </w:pPr>
                </w:p>
              </w:tc>
              <w:tc>
                <w:tcPr>
                  <w:tcW w:w="3261" w:type="dxa"/>
                </w:tcPr>
                <w:p w14:paraId="3DF40CF4"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Primary </w:t>
                  </w:r>
                </w:p>
              </w:tc>
              <w:tc>
                <w:tcPr>
                  <w:tcW w:w="4666" w:type="dxa"/>
                </w:tcPr>
                <w:p w14:paraId="56A1BE63"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Secondary</w:t>
                  </w:r>
                </w:p>
              </w:tc>
            </w:tr>
            <w:tr w:rsidR="006D1E14" w:rsidRPr="00AC72BF" w14:paraId="48094993" w14:textId="77777777" w:rsidTr="006D5183">
              <w:tc>
                <w:tcPr>
                  <w:tcW w:w="1129" w:type="dxa"/>
                </w:tcPr>
                <w:p w14:paraId="41728642"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1.LF</w:t>
                  </w:r>
                </w:p>
              </w:tc>
              <w:tc>
                <w:tcPr>
                  <w:tcW w:w="3261" w:type="dxa"/>
                </w:tcPr>
                <w:p w14:paraId="61955E1A"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heart failure</w:t>
                  </w:r>
                </w:p>
              </w:tc>
              <w:tc>
                <w:tcPr>
                  <w:tcW w:w="4666" w:type="dxa"/>
                </w:tcPr>
                <w:p w14:paraId="3A47FA44"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antithrombotic and antiplatelet therapy</w:t>
                  </w:r>
                </w:p>
                <w:p w14:paraId="7658CEFA"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pulmonary hypertension</w:t>
                  </w:r>
                </w:p>
              </w:tc>
            </w:tr>
            <w:tr w:rsidR="006D1E14" w:rsidRPr="00AC72BF" w14:paraId="340F37D4" w14:textId="77777777" w:rsidTr="006D5183">
              <w:tc>
                <w:tcPr>
                  <w:tcW w:w="1129" w:type="dxa"/>
                </w:tcPr>
                <w:p w14:paraId="275876E1"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lastRenderedPageBreak/>
                    <w:t>2.LF</w:t>
                  </w:r>
                </w:p>
              </w:tc>
              <w:tc>
                <w:tcPr>
                  <w:tcW w:w="3261" w:type="dxa"/>
                </w:tcPr>
                <w:p w14:paraId="07D54D7D"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HOCM</w:t>
                  </w:r>
                </w:p>
              </w:tc>
              <w:tc>
                <w:tcPr>
                  <w:tcW w:w="4666" w:type="dxa"/>
                </w:tcPr>
                <w:p w14:paraId="1D0A6D48"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heart failure</w:t>
                  </w:r>
                </w:p>
              </w:tc>
            </w:tr>
            <w:tr w:rsidR="006D1E14" w:rsidRPr="00AC72BF" w14:paraId="0055A76D" w14:textId="77777777" w:rsidTr="006D5183">
              <w:tc>
                <w:tcPr>
                  <w:tcW w:w="1129" w:type="dxa"/>
                </w:tcPr>
                <w:p w14:paraId="46DD7D3B"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3.LF</w:t>
                  </w:r>
                </w:p>
              </w:tc>
              <w:tc>
                <w:tcPr>
                  <w:tcW w:w="3261" w:type="dxa"/>
                </w:tcPr>
                <w:p w14:paraId="3A1A29A2"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xml:space="preserve">- coronary artery intervention </w:t>
                  </w:r>
                </w:p>
              </w:tc>
              <w:tc>
                <w:tcPr>
                  <w:tcW w:w="4666" w:type="dxa"/>
                </w:tcPr>
                <w:p w14:paraId="18BC0698"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 antithrombotic and antiplatelet therapy</w:t>
                  </w:r>
                </w:p>
              </w:tc>
            </w:tr>
            <w:tr w:rsidR="006D1E14" w:rsidRPr="00AC72BF" w14:paraId="0DDC3FEB" w14:textId="77777777" w:rsidTr="006D5183">
              <w:tc>
                <w:tcPr>
                  <w:tcW w:w="1129" w:type="dxa"/>
                </w:tcPr>
                <w:p w14:paraId="7104A888"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LFHK</w:t>
                  </w:r>
                </w:p>
              </w:tc>
              <w:tc>
                <w:tcPr>
                  <w:tcW w:w="3261" w:type="dxa"/>
                </w:tcPr>
                <w:p w14:paraId="5AC2627E"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-antithrombotic and antiplatelet therapy</w:t>
                  </w:r>
                </w:p>
              </w:tc>
              <w:tc>
                <w:tcPr>
                  <w:tcW w:w="4666" w:type="dxa"/>
                </w:tcPr>
                <w:p w14:paraId="6E495203" w14:textId="77777777" w:rsidR="006D1E14" w:rsidRPr="00AC72BF" w:rsidRDefault="006D1E14" w:rsidP="003672BA">
                  <w:pPr>
                    <w:ind w:right="93"/>
                    <w:rPr>
                      <w:rFonts w:ascii="Times New Roman" w:hAnsi="Times New Roman"/>
                      <w:sz w:val="24"/>
                      <w:szCs w:val="24"/>
                      <w:lang w:val="en-US"/>
                    </w:rPr>
                  </w:pPr>
                </w:p>
              </w:tc>
            </w:tr>
            <w:tr w:rsidR="006D1E14" w:rsidRPr="00AC72BF" w14:paraId="5341983F" w14:textId="77777777" w:rsidTr="006D5183">
              <w:tc>
                <w:tcPr>
                  <w:tcW w:w="1129" w:type="dxa"/>
                </w:tcPr>
                <w:p w14:paraId="558CD38A"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LFPI</w:t>
                  </w:r>
                </w:p>
              </w:tc>
              <w:tc>
                <w:tcPr>
                  <w:tcW w:w="3261" w:type="dxa"/>
                </w:tcPr>
                <w:p w14:paraId="169C45AE" w14:textId="77777777" w:rsidR="006D1E14" w:rsidRPr="00AC72BF" w:rsidRDefault="006D1E14" w:rsidP="003672BA">
                  <w:pPr>
                    <w:ind w:right="93"/>
                    <w:rPr>
                      <w:rFonts w:ascii="Times New Roman" w:hAnsi="Times New Roman"/>
                      <w:sz w:val="24"/>
                      <w:szCs w:val="24"/>
                      <w:lang w:val="en-US"/>
                    </w:rPr>
                  </w:pPr>
                  <w:r w:rsidRPr="00AC72BF">
                    <w:rPr>
                      <w:rFonts w:ascii="Times New Roman" w:hAnsi="Times New Roman"/>
                      <w:sz w:val="24"/>
                      <w:szCs w:val="24"/>
                      <w:lang w:val="en-US"/>
                    </w:rPr>
                    <w:t>-antithrombotic and antiplatelet therapy</w:t>
                  </w:r>
                </w:p>
              </w:tc>
              <w:tc>
                <w:tcPr>
                  <w:tcW w:w="4666" w:type="dxa"/>
                </w:tcPr>
                <w:p w14:paraId="0429D0F2" w14:textId="77777777" w:rsidR="006D1E14" w:rsidRPr="00AC72BF" w:rsidRDefault="006D1E14" w:rsidP="003672BA">
                  <w:pPr>
                    <w:ind w:right="93"/>
                    <w:rPr>
                      <w:rFonts w:ascii="Times New Roman" w:hAnsi="Times New Roman"/>
                      <w:sz w:val="24"/>
                      <w:szCs w:val="24"/>
                      <w:lang w:val="en-US"/>
                    </w:rPr>
                  </w:pPr>
                </w:p>
              </w:tc>
            </w:tr>
          </w:tbl>
          <w:p w14:paraId="167A9BE8" w14:textId="77777777" w:rsidR="006D1E14" w:rsidRPr="00AC72BF" w:rsidRDefault="006D1E14" w:rsidP="003672BA">
            <w:pPr>
              <w:ind w:right="93"/>
              <w:rPr>
                <w:rFonts w:ascii="Times New Roman" w:hAnsi="Times New Roman"/>
                <w:sz w:val="24"/>
                <w:szCs w:val="24"/>
                <w:lang w:val="en-US"/>
              </w:rPr>
            </w:pPr>
          </w:p>
          <w:p w14:paraId="279A2884" w14:textId="77777777" w:rsidR="006D1E14" w:rsidRPr="00AC72BF" w:rsidRDefault="006D1E14" w:rsidP="003672BA">
            <w:pPr>
              <w:pStyle w:val="Odstavecseseznamem"/>
              <w:spacing w:after="0" w:line="360" w:lineRule="auto"/>
              <w:ind w:left="360" w:right="93"/>
              <w:jc w:val="both"/>
              <w:rPr>
                <w:rFonts w:ascii="Times New Roman" w:hAnsi="Times New Roman"/>
                <w:b/>
                <w:bCs/>
                <w:sz w:val="24"/>
                <w:szCs w:val="24"/>
                <w:lang w:val="en-GB"/>
              </w:rPr>
            </w:pPr>
          </w:p>
          <w:p w14:paraId="3DF3295E" w14:textId="3CF4F14C" w:rsidR="00440027" w:rsidRPr="00AC72BF" w:rsidRDefault="003E5F2E" w:rsidP="003672BA">
            <w:pPr>
              <w:pStyle w:val="Odstavecseseznamem"/>
              <w:spacing w:after="0" w:line="360" w:lineRule="auto"/>
              <w:ind w:left="360" w:right="93"/>
              <w:jc w:val="both"/>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The below figure related to WoS category in order to compare with benchmark Universities.</w:t>
            </w:r>
          </w:p>
        </w:tc>
      </w:tr>
      <w:tr w:rsidR="00011ABA" w:rsidRPr="00AC72BF" w14:paraId="6F6FFCAB"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67E56483"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664DEA7A"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562931F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056DF2C6"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660751F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1DF9DB6"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AB21F11"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E5EA1B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47D0C6E2"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363D159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2322EECA" wp14:editId="0E2F6F16">
                  <wp:extent cx="64008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60734502" w14:textId="77777777" w:rsidR="00011ABA" w:rsidRDefault="00011ABA" w:rsidP="003672BA">
            <w:pPr>
              <w:spacing w:after="0" w:line="240" w:lineRule="auto"/>
              <w:ind w:right="93"/>
              <w:rPr>
                <w:rFonts w:ascii="Times New Roman" w:eastAsia="Times New Roman" w:hAnsi="Times New Roman"/>
                <w:color w:val="000000"/>
                <w:sz w:val="24"/>
                <w:szCs w:val="24"/>
                <w:lang w:val="en-GB"/>
              </w:rPr>
            </w:pPr>
          </w:p>
          <w:p w14:paraId="4EAF1DA4" w14:textId="77777777" w:rsidR="00EF4144" w:rsidRDefault="00EF4144" w:rsidP="003672BA">
            <w:pPr>
              <w:spacing w:after="0" w:line="240" w:lineRule="auto"/>
              <w:ind w:right="93"/>
              <w:rPr>
                <w:rFonts w:ascii="Times New Roman" w:eastAsia="Times New Roman" w:hAnsi="Times New Roman"/>
                <w:color w:val="000000"/>
                <w:sz w:val="24"/>
                <w:szCs w:val="24"/>
                <w:lang w:val="en-GB"/>
              </w:rPr>
            </w:pPr>
          </w:p>
          <w:p w14:paraId="6A1A18CC"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de-DE"/>
              </w:rPr>
              <w:t>A: 1st LF (Ales Linhart) and 3rd LF (Petr Wdimsky)</w:t>
            </w:r>
          </w:p>
          <w:p w14:paraId="06362719" w14:textId="0AE20122"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de-DE"/>
              </w:rPr>
              <w:t>B: 1</w:t>
            </w:r>
            <w:r w:rsidR="0091625E">
              <w:rPr>
                <w:rFonts w:ascii="Times New Roman" w:hAnsi="Times New Roman"/>
                <w:color w:val="000000"/>
                <w:sz w:val="24"/>
                <w:szCs w:val="24"/>
                <w:lang w:val="de-DE"/>
              </w:rPr>
              <w:t>st LF (3rd Department of IM; Jiri</w:t>
            </w:r>
            <w:r w:rsidRPr="00E93C7A">
              <w:rPr>
                <w:rFonts w:ascii="Times New Roman" w:hAnsi="Times New Roman"/>
                <w:color w:val="000000"/>
                <w:sz w:val="24"/>
                <w:szCs w:val="24"/>
                <w:lang w:val="de-DE"/>
              </w:rPr>
              <w:t xml:space="preserve"> Widimsky), </w:t>
            </w:r>
            <w:r w:rsidRPr="00E93C7A">
              <w:rPr>
                <w:rFonts w:ascii="Times New Roman" w:hAnsi="Times New Roman"/>
                <w:color w:val="000000"/>
                <w:sz w:val="24"/>
                <w:szCs w:val="24"/>
                <w:lang w:val="en-GB"/>
              </w:rPr>
              <w:t>Thomayer Hospital in Prague (Renata Cifkova), 2nd LF CV Surgery (Jaroslav Lindner)</w:t>
            </w:r>
          </w:p>
          <w:p w14:paraId="6686AD84"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en-GB"/>
              </w:rPr>
              <w:t>C: Pilsen (Richard Rokyta and Ivo Bernat)</w:t>
            </w:r>
          </w:p>
          <w:p w14:paraId="57BB8D13"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en-GB"/>
              </w:rPr>
              <w:t>D:, 1st LF, Institute of Physiology, (Otto Kittnar), Biomedical Centre, Pilsen (Milan Stangl), Cardiology Hradek Kralové (Josef Stasek)</w:t>
            </w:r>
          </w:p>
          <w:p w14:paraId="511FEFDD" w14:textId="77777777" w:rsidR="00853920" w:rsidRPr="00E93C7A" w:rsidRDefault="00853920" w:rsidP="00853920">
            <w:pPr>
              <w:spacing w:after="0" w:line="240" w:lineRule="auto"/>
              <w:rPr>
                <w:rFonts w:ascii="Times New Roman" w:hAnsi="Times New Roman"/>
                <w:color w:val="000000"/>
                <w:lang w:val="en-GB"/>
              </w:rPr>
            </w:pPr>
            <w:r w:rsidRPr="00E93C7A">
              <w:rPr>
                <w:rFonts w:ascii="Times New Roman" w:hAnsi="Times New Roman"/>
                <w:color w:val="000000"/>
                <w:sz w:val="24"/>
                <w:szCs w:val="24"/>
                <w:lang w:val="en-GB"/>
              </w:rPr>
              <w:t> </w:t>
            </w:r>
          </w:p>
          <w:p w14:paraId="2F10EF13" w14:textId="77777777" w:rsidR="00EF4144" w:rsidRPr="00AC72BF" w:rsidRDefault="00EF4144" w:rsidP="003672BA">
            <w:pPr>
              <w:spacing w:after="0" w:line="240" w:lineRule="auto"/>
              <w:ind w:right="93"/>
              <w:rPr>
                <w:rFonts w:ascii="Times New Roman" w:eastAsia="Times New Roman" w:hAnsi="Times New Roman"/>
                <w:color w:val="000000"/>
                <w:sz w:val="24"/>
                <w:szCs w:val="24"/>
                <w:lang w:val="en-GB"/>
              </w:rPr>
            </w:pPr>
          </w:p>
          <w:p w14:paraId="412B4C2C" w14:textId="06730183"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351603C9"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289BFAA8"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2EBC13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95F5D8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94C184"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E84CF4" w:rsidRPr="00AC72BF" w14:paraId="2BFE50A7" w14:textId="77777777" w:rsidTr="00447D4E">
        <w:trPr>
          <w:gridAfter w:val="7"/>
          <w:wAfter w:w="8020" w:type="dxa"/>
          <w:trHeight w:val="300"/>
        </w:trPr>
        <w:tc>
          <w:tcPr>
            <w:tcW w:w="10749" w:type="dxa"/>
            <w:gridSpan w:val="4"/>
            <w:tcBorders>
              <w:top w:val="nil"/>
              <w:left w:val="nil"/>
              <w:bottom w:val="nil"/>
              <w:right w:val="nil"/>
            </w:tcBorders>
            <w:shd w:val="clear" w:color="auto" w:fill="auto"/>
            <w:noWrap/>
            <w:vAlign w:val="bottom"/>
            <w:hideMark/>
          </w:tcPr>
          <w:p w14:paraId="59515F8A" w14:textId="77777777" w:rsidR="001915DE" w:rsidRPr="00AC72BF" w:rsidRDefault="001915DE"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lastRenderedPageBreak/>
              <w:t>Clinical Neurology</w:t>
            </w:r>
          </w:p>
          <w:p w14:paraId="21CB20B4"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p>
          <w:p w14:paraId="0C83F91F" w14:textId="5818F853" w:rsidR="001915DE" w:rsidRPr="00AC72BF" w:rsidRDefault="000F0BFA" w:rsidP="003672BA">
            <w:pPr>
              <w:pStyle w:val="Odstavecseseznamem"/>
              <w:spacing w:after="0" w:line="360" w:lineRule="auto"/>
              <w:ind w:left="360" w:right="93"/>
              <w:jc w:val="both"/>
              <w:rPr>
                <w:rFonts w:ascii="Times New Roman" w:hAnsi="Times New Roman"/>
                <w:bCs/>
                <w:sz w:val="24"/>
                <w:szCs w:val="24"/>
                <w:lang w:val="en-GB"/>
              </w:rPr>
            </w:pPr>
            <w:r>
              <w:rPr>
                <w:rFonts w:ascii="Times New Roman" w:hAnsi="Times New Roman"/>
                <w:bCs/>
                <w:sz w:val="24"/>
                <w:szCs w:val="24"/>
                <w:lang w:val="en-GB"/>
              </w:rPr>
              <w:t>From an analysis of</w:t>
            </w:r>
            <w:r w:rsidR="001915DE" w:rsidRPr="00AC72BF">
              <w:rPr>
                <w:rFonts w:ascii="Times New Roman" w:hAnsi="Times New Roman"/>
                <w:bCs/>
                <w:sz w:val="24"/>
                <w:szCs w:val="24"/>
                <w:lang w:val="en-GB"/>
              </w:rPr>
              <w:t xml:space="preserve"> the top 10% papers in Clinical Neurology, there are in total 96 papers from all medical faculties of CU, 49 from 1.LF, 35 from 2.LF, 7 from 3.LF, 1 from LFHK, 4 from LFPI. One important research direction in Clinical Neurology is </w:t>
            </w:r>
            <w:r>
              <w:rPr>
                <w:rFonts w:ascii="Times New Roman" w:hAnsi="Times New Roman"/>
                <w:bCs/>
                <w:sz w:val="24"/>
                <w:szCs w:val="24"/>
                <w:lang w:val="en-GB"/>
              </w:rPr>
              <w:t>m</w:t>
            </w:r>
            <w:r w:rsidR="001915DE" w:rsidRPr="00AC72BF">
              <w:rPr>
                <w:rFonts w:ascii="Times New Roman" w:hAnsi="Times New Roman"/>
                <w:bCs/>
                <w:sz w:val="24"/>
                <w:szCs w:val="24"/>
                <w:lang w:val="en-GB"/>
              </w:rPr>
              <w:t xml:space="preserve">ultiple </w:t>
            </w:r>
            <w:r>
              <w:rPr>
                <w:rFonts w:ascii="Times New Roman" w:hAnsi="Times New Roman"/>
                <w:bCs/>
                <w:sz w:val="24"/>
                <w:szCs w:val="24"/>
                <w:lang w:val="en-GB"/>
              </w:rPr>
              <w:t>s</w:t>
            </w:r>
            <w:r w:rsidR="001915DE" w:rsidRPr="00AC72BF">
              <w:rPr>
                <w:rFonts w:ascii="Times New Roman" w:hAnsi="Times New Roman"/>
                <w:bCs/>
                <w:sz w:val="24"/>
                <w:szCs w:val="24"/>
                <w:lang w:val="en-GB"/>
              </w:rPr>
              <w:t xml:space="preserve">clerosis (25 papers from 1. LF co-authored by Prof. Eva Havrdova, 10 by Dana Horakova). However, only one study published in J Neurol Neurosurg PS (JIF=8.3) </w:t>
            </w:r>
            <w:r>
              <w:rPr>
                <w:rFonts w:ascii="Times New Roman" w:hAnsi="Times New Roman"/>
                <w:bCs/>
                <w:sz w:val="24"/>
                <w:szCs w:val="24"/>
                <w:lang w:val="en-GB"/>
              </w:rPr>
              <w:t xml:space="preserve">has </w:t>
            </w:r>
            <w:r w:rsidR="001915DE" w:rsidRPr="00AC72BF">
              <w:rPr>
                <w:rFonts w:ascii="Times New Roman" w:hAnsi="Times New Roman"/>
                <w:bCs/>
                <w:sz w:val="24"/>
                <w:szCs w:val="24"/>
                <w:lang w:val="en-GB"/>
              </w:rPr>
              <w:t>muliple authors from this department</w:t>
            </w:r>
            <w:r>
              <w:rPr>
                <w:rFonts w:ascii="Times New Roman" w:hAnsi="Times New Roman"/>
                <w:bCs/>
                <w:sz w:val="24"/>
                <w:szCs w:val="24"/>
                <w:lang w:val="en-GB"/>
              </w:rPr>
              <w:t>,</w:t>
            </w:r>
            <w:r w:rsidR="001915DE" w:rsidRPr="00AC72BF">
              <w:rPr>
                <w:rFonts w:ascii="Times New Roman" w:hAnsi="Times New Roman"/>
                <w:bCs/>
                <w:sz w:val="24"/>
                <w:szCs w:val="24"/>
                <w:lang w:val="en-GB"/>
              </w:rPr>
              <w:t xml:space="preserve"> and one publication (Neurology) has Eva Havrodova as first author. Given some influential papers in this field, the Department of Neurology in the 1.LF should be considered as a </w:t>
            </w:r>
            <w:r>
              <w:rPr>
                <w:rFonts w:ascii="Times New Roman" w:hAnsi="Times New Roman"/>
                <w:bCs/>
                <w:sz w:val="24"/>
                <w:szCs w:val="24"/>
                <w:lang w:val="en-GB"/>
              </w:rPr>
              <w:t>leading</w:t>
            </w:r>
            <w:r w:rsidRPr="00AC72BF">
              <w:rPr>
                <w:rFonts w:ascii="Times New Roman" w:hAnsi="Times New Roman"/>
                <w:bCs/>
                <w:sz w:val="24"/>
                <w:szCs w:val="24"/>
                <w:lang w:val="en-GB"/>
              </w:rPr>
              <w:t xml:space="preserve"> </w:t>
            </w:r>
            <w:r w:rsidR="001915DE" w:rsidRPr="00AC72BF">
              <w:rPr>
                <w:rFonts w:ascii="Times New Roman" w:hAnsi="Times New Roman"/>
                <w:bCs/>
                <w:sz w:val="24"/>
                <w:szCs w:val="24"/>
                <w:lang w:val="en-GB"/>
              </w:rPr>
              <w:t xml:space="preserve">department. However, </w:t>
            </w:r>
            <w:r>
              <w:rPr>
                <w:rFonts w:ascii="Times New Roman" w:hAnsi="Times New Roman"/>
                <w:bCs/>
                <w:sz w:val="24"/>
                <w:szCs w:val="24"/>
                <w:lang w:val="en-GB"/>
              </w:rPr>
              <w:t xml:space="preserve">there was </w:t>
            </w:r>
            <w:r w:rsidR="001915DE" w:rsidRPr="00AC72BF">
              <w:rPr>
                <w:rFonts w:ascii="Times New Roman" w:hAnsi="Times New Roman"/>
                <w:bCs/>
                <w:sz w:val="24"/>
                <w:szCs w:val="24"/>
                <w:lang w:val="en-GB"/>
              </w:rPr>
              <w:t xml:space="preserve">no participation of researchers from 1.LF </w:t>
            </w:r>
            <w:r>
              <w:rPr>
                <w:rFonts w:ascii="Times New Roman" w:hAnsi="Times New Roman"/>
                <w:bCs/>
                <w:sz w:val="24"/>
                <w:szCs w:val="24"/>
                <w:lang w:val="en-GB"/>
              </w:rPr>
              <w:t xml:space="preserve">identified </w:t>
            </w:r>
            <w:r w:rsidR="001915DE" w:rsidRPr="00AC72BF">
              <w:rPr>
                <w:rFonts w:ascii="Times New Roman" w:hAnsi="Times New Roman"/>
                <w:bCs/>
                <w:sz w:val="24"/>
                <w:szCs w:val="24"/>
                <w:lang w:val="en-GB"/>
              </w:rPr>
              <w:t xml:space="preserve">in larger research consortia. </w:t>
            </w:r>
          </w:p>
          <w:p w14:paraId="3DF8E2A5" w14:textId="57135D22"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With 6 papers in the field of sleep medicine, Prof. Karel Sonka</w:t>
            </w:r>
            <w:r w:rsidR="000F0BFA">
              <w:rPr>
                <w:rFonts w:ascii="Times New Roman" w:hAnsi="Times New Roman"/>
                <w:bCs/>
                <w:sz w:val="24"/>
                <w:szCs w:val="24"/>
                <w:lang w:val="en-GB"/>
              </w:rPr>
              <w:t xml:space="preserve"> of the First Faculty of Medicine</w:t>
            </w:r>
            <w:r w:rsidRPr="00AC72BF">
              <w:rPr>
                <w:rFonts w:ascii="Times New Roman" w:hAnsi="Times New Roman"/>
                <w:bCs/>
                <w:sz w:val="24"/>
                <w:szCs w:val="24"/>
                <w:lang w:val="en-GB"/>
              </w:rPr>
              <w:t xml:space="preserve"> has published on the highest scientific level (three papers in Lancet Neurol</w:t>
            </w:r>
            <w:r w:rsidR="000F0BFA">
              <w:rPr>
                <w:rFonts w:ascii="Times New Roman" w:hAnsi="Times New Roman"/>
                <w:bCs/>
                <w:sz w:val="24"/>
                <w:szCs w:val="24"/>
                <w:lang w:val="en-GB"/>
              </w:rPr>
              <w:t>ogy</w:t>
            </w:r>
            <w:r w:rsidRPr="00AC72BF">
              <w:rPr>
                <w:rFonts w:ascii="Times New Roman" w:hAnsi="Times New Roman"/>
                <w:bCs/>
                <w:sz w:val="24"/>
                <w:szCs w:val="24"/>
                <w:lang w:val="en-GB"/>
              </w:rPr>
              <w:t xml:space="preserve">). </w:t>
            </w:r>
            <w:r w:rsidR="000F0BFA">
              <w:rPr>
                <w:rFonts w:ascii="Times New Roman" w:hAnsi="Times New Roman"/>
                <w:bCs/>
                <w:sz w:val="24"/>
                <w:szCs w:val="24"/>
                <w:lang w:val="en-GB"/>
              </w:rPr>
              <w:t xml:space="preserve">and </w:t>
            </w:r>
            <w:r w:rsidRPr="00AC72BF">
              <w:rPr>
                <w:rFonts w:ascii="Times New Roman" w:hAnsi="Times New Roman"/>
                <w:bCs/>
                <w:sz w:val="24"/>
                <w:szCs w:val="24"/>
                <w:lang w:val="en-GB"/>
              </w:rPr>
              <w:t xml:space="preserve">can be considered an influential researcher in sleep medicine. </w:t>
            </w:r>
          </w:p>
          <w:p w14:paraId="101B9941" w14:textId="403F554E"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 xml:space="preserve">In most publications listed in the top10%, CU researchers are not the coordinating part of the project, reflected in mostly individual co-authorships. A number of papers (8 for 1.LF, 8 for 2. LF, 2 from 3.LF, and 1 from LFPI) with authors from CUNI including MSc students were published at the highest level (Brain, Neurology, Movement Dis), either with first (shared) and/or last (shared last) authors from CUNI. </w:t>
            </w:r>
            <w:r w:rsidR="00045D24">
              <w:rPr>
                <w:rFonts w:ascii="Times New Roman" w:hAnsi="Times New Roman"/>
                <w:bCs/>
                <w:sz w:val="24"/>
                <w:szCs w:val="24"/>
                <w:lang w:val="en-GB"/>
              </w:rPr>
              <w:t xml:space="preserve">As an example, a publication in </w:t>
            </w:r>
            <w:r w:rsidRPr="00AC72BF">
              <w:rPr>
                <w:rFonts w:ascii="Times New Roman" w:hAnsi="Times New Roman"/>
                <w:bCs/>
                <w:sz w:val="24"/>
                <w:szCs w:val="24"/>
                <w:lang w:val="en-GB"/>
              </w:rPr>
              <w:t xml:space="preserve">Brain 2015: 138:336-355 </w:t>
            </w:r>
            <w:r w:rsidR="00045D24">
              <w:rPr>
                <w:rFonts w:ascii="Times New Roman" w:hAnsi="Times New Roman"/>
                <w:bCs/>
                <w:sz w:val="24"/>
                <w:szCs w:val="24"/>
                <w:lang w:val="en-GB"/>
              </w:rPr>
              <w:t xml:space="preserve">identifies </w:t>
            </w:r>
            <w:r w:rsidR="00045D24" w:rsidRPr="00AC72BF">
              <w:rPr>
                <w:rFonts w:ascii="Times New Roman" w:hAnsi="Times New Roman"/>
                <w:bCs/>
                <w:sz w:val="24"/>
                <w:szCs w:val="24"/>
                <w:lang w:val="en-GB"/>
              </w:rPr>
              <w:t xml:space="preserve"> </w:t>
            </w:r>
            <w:r w:rsidRPr="00AC72BF">
              <w:rPr>
                <w:rFonts w:ascii="Times New Roman" w:hAnsi="Times New Roman"/>
                <w:bCs/>
                <w:sz w:val="24"/>
                <w:szCs w:val="24"/>
                <w:lang w:val="en-GB"/>
              </w:rPr>
              <w:t xml:space="preserve">Helena Hulkova (MSc student) as equally contributing first author. These authors are from the Institute of Inherited Metabolic Disorders, 1.LF. From 2.LF, the group of Prof. Pavel Seeman from the Department of Paediatric Neurology published papers in Brain and J. Neurol and Neurosurgery with first author from their Institute. Prof. Seeman is a </w:t>
            </w:r>
            <w:r w:rsidRPr="00AC72BF">
              <w:rPr>
                <w:rFonts w:ascii="Times New Roman" w:hAnsi="Times New Roman"/>
                <w:bCs/>
                <w:sz w:val="24"/>
                <w:szCs w:val="24"/>
                <w:lang w:val="en-GB"/>
              </w:rPr>
              <w:lastRenderedPageBreak/>
              <w:t xml:space="preserve">leading researcher in the 2.LF. Interestingly, </w:t>
            </w:r>
            <w:r w:rsidR="00045D24">
              <w:rPr>
                <w:rFonts w:ascii="Times New Roman" w:hAnsi="Times New Roman"/>
                <w:bCs/>
                <w:sz w:val="24"/>
                <w:szCs w:val="24"/>
                <w:lang w:val="en-GB"/>
              </w:rPr>
              <w:t>i</w:t>
            </w:r>
            <w:r w:rsidRPr="00AC72BF">
              <w:rPr>
                <w:rFonts w:ascii="Times New Roman" w:hAnsi="Times New Roman"/>
                <w:bCs/>
                <w:sz w:val="24"/>
                <w:szCs w:val="24"/>
                <w:lang w:val="en-GB"/>
              </w:rPr>
              <w:t>n the 2.LF, there are two researchers who are part of a larger consortium (e.g. EuroEPINOMICS RES)</w:t>
            </w:r>
            <w:r w:rsidR="00045D24">
              <w:rPr>
                <w:rFonts w:ascii="Times New Roman" w:hAnsi="Times New Roman"/>
                <w:bCs/>
                <w:sz w:val="24"/>
                <w:szCs w:val="24"/>
                <w:lang w:val="en-GB"/>
              </w:rPr>
              <w:t xml:space="preserve"> that</w:t>
            </w:r>
            <w:r w:rsidRPr="00AC72BF">
              <w:rPr>
                <w:rFonts w:ascii="Times New Roman" w:hAnsi="Times New Roman"/>
                <w:bCs/>
                <w:sz w:val="24"/>
                <w:szCs w:val="24"/>
                <w:lang w:val="en-GB"/>
              </w:rPr>
              <w:t xml:space="preserve"> resulted in 13 </w:t>
            </w:r>
            <w:r w:rsidR="00045D24">
              <w:rPr>
                <w:rFonts w:ascii="Times New Roman" w:hAnsi="Times New Roman"/>
                <w:bCs/>
                <w:sz w:val="24"/>
                <w:szCs w:val="24"/>
                <w:lang w:val="en-GB"/>
              </w:rPr>
              <w:t>top</w:t>
            </w:r>
            <w:r w:rsidRPr="00AC72BF">
              <w:rPr>
                <w:rFonts w:ascii="Times New Roman" w:hAnsi="Times New Roman"/>
                <w:bCs/>
                <w:sz w:val="24"/>
                <w:szCs w:val="24"/>
                <w:lang w:val="en-GB"/>
              </w:rPr>
              <w:t xml:space="preserve"> 10% papers. </w:t>
            </w:r>
            <w:r w:rsidR="00045D24">
              <w:rPr>
                <w:rFonts w:ascii="Times New Roman" w:hAnsi="Times New Roman"/>
                <w:bCs/>
                <w:sz w:val="24"/>
                <w:szCs w:val="24"/>
                <w:lang w:val="en-GB"/>
              </w:rPr>
              <w:t>There is one</w:t>
            </w:r>
            <w:r w:rsidRPr="00AC72BF">
              <w:rPr>
                <w:rFonts w:ascii="Times New Roman" w:hAnsi="Times New Roman"/>
                <w:bCs/>
                <w:sz w:val="24"/>
                <w:szCs w:val="24"/>
                <w:lang w:val="en-GB"/>
              </w:rPr>
              <w:t xml:space="preserve"> consortium publication </w:t>
            </w:r>
            <w:r w:rsidR="00045D24">
              <w:rPr>
                <w:rFonts w:ascii="Times New Roman" w:hAnsi="Times New Roman"/>
                <w:bCs/>
                <w:sz w:val="24"/>
                <w:szCs w:val="24"/>
                <w:lang w:val="en-GB"/>
              </w:rPr>
              <w:t xml:space="preserve">each from </w:t>
            </w:r>
            <w:r w:rsidRPr="00AC72BF">
              <w:rPr>
                <w:rFonts w:ascii="Times New Roman" w:hAnsi="Times New Roman"/>
                <w:bCs/>
                <w:sz w:val="24"/>
                <w:szCs w:val="24"/>
                <w:lang w:val="en-GB"/>
              </w:rPr>
              <w:t>3.LF, LFHK and LFPI</w:t>
            </w:r>
            <w:r w:rsidR="00045D24">
              <w:rPr>
                <w:rFonts w:ascii="Times New Roman" w:hAnsi="Times New Roman"/>
                <w:bCs/>
                <w:sz w:val="24"/>
                <w:szCs w:val="24"/>
                <w:lang w:val="en-GB"/>
              </w:rPr>
              <w:t>.</w:t>
            </w:r>
          </w:p>
          <w:p w14:paraId="0DD306C4" w14:textId="257AED5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 xml:space="preserve">With 6 papers having either </w:t>
            </w:r>
            <w:r w:rsidR="00045D24">
              <w:rPr>
                <w:rFonts w:ascii="Times New Roman" w:hAnsi="Times New Roman"/>
                <w:bCs/>
                <w:sz w:val="24"/>
                <w:szCs w:val="24"/>
                <w:lang w:val="en-GB"/>
              </w:rPr>
              <w:t xml:space="preserve">a </w:t>
            </w:r>
            <w:r w:rsidRPr="00AC72BF">
              <w:rPr>
                <w:rFonts w:ascii="Times New Roman" w:hAnsi="Times New Roman"/>
                <w:bCs/>
                <w:sz w:val="24"/>
                <w:szCs w:val="24"/>
                <w:lang w:val="en-GB"/>
              </w:rPr>
              <w:t xml:space="preserve">first and/or last author from CUNI, the 2.LF is the most successful faculty; 3 from 1.LF, 2 from 3.LF, and 1 from LFPI, giving a total of 12 papers with first or last author from CUNI. Moreover, there are 7 additional papers in which CUNI members are shared first or shared last author.  </w:t>
            </w:r>
          </w:p>
          <w:p w14:paraId="73B750DC" w14:textId="23526429"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sz w:val="24"/>
                <w:szCs w:val="24"/>
                <w:lang w:val="en-GB"/>
              </w:rPr>
              <w:t xml:space="preserve">Overall faculties, there is a good coverage of all areas of </w:t>
            </w:r>
            <w:r w:rsidR="00045D24">
              <w:rPr>
                <w:rFonts w:ascii="Times New Roman" w:hAnsi="Times New Roman"/>
                <w:bCs/>
                <w:sz w:val="24"/>
                <w:szCs w:val="24"/>
                <w:lang w:val="en-GB"/>
              </w:rPr>
              <w:t>n</w:t>
            </w:r>
            <w:r w:rsidRPr="00AC72BF">
              <w:rPr>
                <w:rFonts w:ascii="Times New Roman" w:hAnsi="Times New Roman"/>
                <w:bCs/>
                <w:sz w:val="24"/>
                <w:szCs w:val="24"/>
                <w:lang w:val="en-GB"/>
              </w:rPr>
              <w:t xml:space="preserve">eurology, including </w:t>
            </w:r>
            <w:r w:rsidR="00045D24">
              <w:rPr>
                <w:rFonts w:ascii="Times New Roman" w:hAnsi="Times New Roman"/>
                <w:bCs/>
                <w:sz w:val="24"/>
                <w:szCs w:val="24"/>
                <w:lang w:val="en-GB"/>
              </w:rPr>
              <w:t>multiple sclerosis, dementia, dystonia, stroke, epilepsy, and encephalopathies including hypersomnia.</w:t>
            </w:r>
            <w:r w:rsidRPr="00AC72BF">
              <w:rPr>
                <w:rFonts w:ascii="Times New Roman" w:hAnsi="Times New Roman"/>
                <w:bCs/>
                <w:sz w:val="24"/>
                <w:szCs w:val="24"/>
                <w:lang w:val="en-GB"/>
              </w:rPr>
              <w:t xml:space="preserve">. </w:t>
            </w:r>
            <w:r w:rsidR="00045D24">
              <w:rPr>
                <w:rFonts w:ascii="Times New Roman" w:hAnsi="Times New Roman"/>
                <w:bCs/>
                <w:sz w:val="24"/>
                <w:szCs w:val="24"/>
                <w:lang w:val="en-GB"/>
              </w:rPr>
              <w:t>Research foci include multiple sclerosis and sleep medicine</w:t>
            </w:r>
            <w:r w:rsidRPr="00AC72BF">
              <w:rPr>
                <w:rFonts w:ascii="Times New Roman" w:hAnsi="Times New Roman"/>
                <w:bCs/>
                <w:sz w:val="24"/>
                <w:szCs w:val="24"/>
                <w:lang w:val="en-GB"/>
              </w:rPr>
              <w:t xml:space="preserve"> in 1.LF, </w:t>
            </w:r>
            <w:r w:rsidR="00045D24">
              <w:rPr>
                <w:rFonts w:ascii="Times New Roman" w:hAnsi="Times New Roman"/>
                <w:bCs/>
                <w:sz w:val="24"/>
                <w:szCs w:val="24"/>
                <w:lang w:val="en-GB"/>
              </w:rPr>
              <w:t>e</w:t>
            </w:r>
            <w:r w:rsidRPr="00AC72BF">
              <w:rPr>
                <w:rFonts w:ascii="Times New Roman" w:hAnsi="Times New Roman"/>
                <w:bCs/>
                <w:sz w:val="24"/>
                <w:szCs w:val="24"/>
                <w:lang w:val="en-GB"/>
              </w:rPr>
              <w:t xml:space="preserve">ncephalopathies and </w:t>
            </w:r>
            <w:r w:rsidR="00045D24">
              <w:rPr>
                <w:rFonts w:ascii="Times New Roman" w:hAnsi="Times New Roman"/>
                <w:bCs/>
                <w:sz w:val="24"/>
                <w:szCs w:val="24"/>
                <w:lang w:val="en-GB"/>
              </w:rPr>
              <w:t>n</w:t>
            </w:r>
            <w:r w:rsidRPr="00AC72BF">
              <w:rPr>
                <w:rFonts w:ascii="Times New Roman" w:hAnsi="Times New Roman"/>
                <w:bCs/>
                <w:sz w:val="24"/>
                <w:szCs w:val="24"/>
                <w:lang w:val="en-GB"/>
              </w:rPr>
              <w:t xml:space="preserve">europathies in the 2.LF, and </w:t>
            </w:r>
            <w:r w:rsidR="00045D24">
              <w:rPr>
                <w:rFonts w:ascii="Times New Roman" w:hAnsi="Times New Roman"/>
                <w:bCs/>
                <w:sz w:val="24"/>
                <w:szCs w:val="24"/>
                <w:lang w:val="en-GB"/>
              </w:rPr>
              <w:t>s</w:t>
            </w:r>
            <w:r w:rsidRPr="00AC72BF">
              <w:rPr>
                <w:rFonts w:ascii="Times New Roman" w:hAnsi="Times New Roman"/>
                <w:bCs/>
                <w:sz w:val="24"/>
                <w:szCs w:val="24"/>
                <w:lang w:val="en-GB"/>
              </w:rPr>
              <w:t xml:space="preserve">troke in LFPI. </w:t>
            </w:r>
          </w:p>
          <w:tbl>
            <w:tblPr>
              <w:tblW w:w="9640" w:type="dxa"/>
              <w:tblInd w:w="93" w:type="dxa"/>
              <w:tblLook w:val="04A0" w:firstRow="1" w:lastRow="0" w:firstColumn="1" w:lastColumn="0" w:noHBand="0" w:noVBand="1"/>
            </w:tblPr>
            <w:tblGrid>
              <w:gridCol w:w="1300"/>
              <w:gridCol w:w="1300"/>
              <w:gridCol w:w="1300"/>
              <w:gridCol w:w="1300"/>
              <w:gridCol w:w="1300"/>
              <w:gridCol w:w="1300"/>
              <w:gridCol w:w="1840"/>
            </w:tblGrid>
            <w:tr w:rsidR="001915DE" w:rsidRPr="00AC72BF" w14:paraId="168DC1BE" w14:textId="77777777" w:rsidTr="00B86C52">
              <w:trPr>
                <w:trHeight w:val="300"/>
              </w:trPr>
              <w:tc>
                <w:tcPr>
                  <w:tcW w:w="1300" w:type="dxa"/>
                  <w:tcBorders>
                    <w:top w:val="nil"/>
                    <w:left w:val="nil"/>
                    <w:bottom w:val="nil"/>
                    <w:right w:val="nil"/>
                  </w:tcBorders>
                  <w:shd w:val="clear" w:color="auto" w:fill="auto"/>
                  <w:noWrap/>
                  <w:vAlign w:val="bottom"/>
                  <w:hideMark/>
                </w:tcPr>
                <w:p w14:paraId="5AA608F2"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B22407"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1CDA8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4F8AA3E"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2A7B24A"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66FA056"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0366B72C"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Clinical Neurology</w:t>
                  </w:r>
                </w:p>
              </w:tc>
            </w:tr>
            <w:tr w:rsidR="001915DE" w:rsidRPr="00AC72BF" w14:paraId="586469ED" w14:textId="77777777" w:rsidTr="00B86C52">
              <w:trPr>
                <w:trHeight w:val="300"/>
              </w:trPr>
              <w:tc>
                <w:tcPr>
                  <w:tcW w:w="3900" w:type="dxa"/>
                  <w:gridSpan w:val="3"/>
                  <w:tcBorders>
                    <w:top w:val="nil"/>
                    <w:left w:val="nil"/>
                    <w:bottom w:val="nil"/>
                    <w:right w:val="nil"/>
                  </w:tcBorders>
                  <w:shd w:val="clear" w:color="auto" w:fill="auto"/>
                  <w:noWrap/>
                  <w:vAlign w:val="bottom"/>
                  <w:hideMark/>
                </w:tcPr>
                <w:p w14:paraId="574E56AF" w14:textId="2AD947A5"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 xml:space="preserve">Total Number of </w:t>
                  </w:r>
                  <w:r w:rsidR="00B76222">
                    <w:rPr>
                      <w:rFonts w:ascii="Times New Roman" w:eastAsia="Times New Roman" w:hAnsi="Times New Roman"/>
                      <w:color w:val="000000"/>
                      <w:sz w:val="24"/>
                      <w:szCs w:val="24"/>
                      <w:lang w:val="en-GB"/>
                    </w:rPr>
                    <w:t>top</w:t>
                  </w:r>
                  <w:r w:rsidRPr="00AC72BF">
                    <w:rPr>
                      <w:rFonts w:ascii="Times New Roman" w:eastAsia="Times New Roman" w:hAnsi="Times New Roman"/>
                      <w:color w:val="000000"/>
                      <w:sz w:val="24"/>
                      <w:szCs w:val="24"/>
                      <w:lang w:val="en-GB"/>
                    </w:rPr>
                    <w:t xml:space="preserve"> 10% Papers</w:t>
                  </w:r>
                </w:p>
              </w:tc>
              <w:tc>
                <w:tcPr>
                  <w:tcW w:w="1300" w:type="dxa"/>
                  <w:tcBorders>
                    <w:top w:val="nil"/>
                    <w:left w:val="nil"/>
                    <w:bottom w:val="nil"/>
                    <w:right w:val="nil"/>
                  </w:tcBorders>
                  <w:shd w:val="clear" w:color="auto" w:fill="auto"/>
                  <w:noWrap/>
                  <w:vAlign w:val="bottom"/>
                  <w:hideMark/>
                </w:tcPr>
                <w:p w14:paraId="73606E68"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5788F2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17CEDE"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6567C103"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96</w:t>
                  </w:r>
                </w:p>
              </w:tc>
            </w:tr>
            <w:tr w:rsidR="001915DE" w:rsidRPr="00AC72BF" w14:paraId="679C834E" w14:textId="77777777" w:rsidTr="00B86C52">
              <w:trPr>
                <w:trHeight w:val="300"/>
              </w:trPr>
              <w:tc>
                <w:tcPr>
                  <w:tcW w:w="1300" w:type="dxa"/>
                  <w:tcBorders>
                    <w:top w:val="nil"/>
                    <w:left w:val="nil"/>
                    <w:bottom w:val="nil"/>
                    <w:right w:val="nil"/>
                  </w:tcBorders>
                  <w:shd w:val="clear" w:color="auto" w:fill="auto"/>
                  <w:noWrap/>
                  <w:vAlign w:val="bottom"/>
                  <w:hideMark/>
                </w:tcPr>
                <w:p w14:paraId="1F40A123"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726EB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A0F3D3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5AD8C0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DE0CE6A"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45BA05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1A23B9D3"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79826311" w14:textId="77777777" w:rsidTr="00B86C52">
              <w:trPr>
                <w:trHeight w:val="300"/>
              </w:trPr>
              <w:tc>
                <w:tcPr>
                  <w:tcW w:w="3900" w:type="dxa"/>
                  <w:gridSpan w:val="3"/>
                  <w:tcBorders>
                    <w:top w:val="nil"/>
                    <w:left w:val="nil"/>
                    <w:bottom w:val="nil"/>
                    <w:right w:val="nil"/>
                  </w:tcBorders>
                  <w:shd w:val="clear" w:color="auto" w:fill="auto"/>
                  <w:noWrap/>
                  <w:vAlign w:val="bottom"/>
                  <w:hideMark/>
                </w:tcPr>
                <w:p w14:paraId="7A663541"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Papers with ONE author from CUNI</w:t>
                  </w:r>
                </w:p>
              </w:tc>
              <w:tc>
                <w:tcPr>
                  <w:tcW w:w="1300" w:type="dxa"/>
                  <w:tcBorders>
                    <w:top w:val="nil"/>
                    <w:left w:val="nil"/>
                    <w:bottom w:val="nil"/>
                    <w:right w:val="nil"/>
                  </w:tcBorders>
                  <w:shd w:val="clear" w:color="auto" w:fill="auto"/>
                  <w:noWrap/>
                  <w:vAlign w:val="bottom"/>
                  <w:hideMark/>
                </w:tcPr>
                <w:p w14:paraId="3E15EA5C"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9CCAD0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C17BF8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661CCA1B"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w:t>
                  </w:r>
                </w:p>
              </w:tc>
            </w:tr>
            <w:tr w:rsidR="001915DE" w:rsidRPr="00AC72BF" w14:paraId="1CF46DD5" w14:textId="77777777" w:rsidTr="00B86C52">
              <w:trPr>
                <w:trHeight w:val="300"/>
              </w:trPr>
              <w:tc>
                <w:tcPr>
                  <w:tcW w:w="1300" w:type="dxa"/>
                  <w:tcBorders>
                    <w:top w:val="nil"/>
                    <w:left w:val="nil"/>
                    <w:bottom w:val="nil"/>
                    <w:right w:val="nil"/>
                  </w:tcBorders>
                  <w:shd w:val="clear" w:color="auto" w:fill="auto"/>
                  <w:noWrap/>
                  <w:vAlign w:val="bottom"/>
                  <w:hideMark/>
                </w:tcPr>
                <w:p w14:paraId="1A1F8DA5"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789C03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A9EFC0F"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0388047"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29DD97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AB9FF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3F2581E1"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157466F5" w14:textId="77777777" w:rsidTr="00B86C52">
              <w:trPr>
                <w:trHeight w:val="300"/>
              </w:trPr>
              <w:tc>
                <w:tcPr>
                  <w:tcW w:w="5200" w:type="dxa"/>
                  <w:gridSpan w:val="4"/>
                  <w:tcBorders>
                    <w:top w:val="nil"/>
                    <w:left w:val="nil"/>
                    <w:bottom w:val="nil"/>
                    <w:right w:val="nil"/>
                  </w:tcBorders>
                  <w:shd w:val="clear" w:color="auto" w:fill="auto"/>
                  <w:noWrap/>
                  <w:vAlign w:val="bottom"/>
                  <w:hideMark/>
                </w:tcPr>
                <w:p w14:paraId="682636BB"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Papers with MORE THAN ONE author from CUNI</w:t>
                  </w:r>
                </w:p>
              </w:tc>
              <w:tc>
                <w:tcPr>
                  <w:tcW w:w="1300" w:type="dxa"/>
                  <w:tcBorders>
                    <w:top w:val="nil"/>
                    <w:left w:val="nil"/>
                    <w:bottom w:val="nil"/>
                    <w:right w:val="nil"/>
                  </w:tcBorders>
                  <w:shd w:val="clear" w:color="auto" w:fill="auto"/>
                  <w:noWrap/>
                  <w:vAlign w:val="bottom"/>
                  <w:hideMark/>
                </w:tcPr>
                <w:p w14:paraId="1D0E802C"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057E276"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5697B7D6"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36</w:t>
                  </w:r>
                </w:p>
              </w:tc>
            </w:tr>
            <w:tr w:rsidR="001915DE" w:rsidRPr="00AC72BF" w14:paraId="516A7D1F" w14:textId="77777777" w:rsidTr="00B86C52">
              <w:trPr>
                <w:trHeight w:val="300"/>
              </w:trPr>
              <w:tc>
                <w:tcPr>
                  <w:tcW w:w="1300" w:type="dxa"/>
                  <w:tcBorders>
                    <w:top w:val="nil"/>
                    <w:left w:val="nil"/>
                    <w:bottom w:val="nil"/>
                    <w:right w:val="nil"/>
                  </w:tcBorders>
                  <w:shd w:val="clear" w:color="auto" w:fill="auto"/>
                  <w:noWrap/>
                  <w:vAlign w:val="bottom"/>
                  <w:hideMark/>
                </w:tcPr>
                <w:p w14:paraId="2D9E9328"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7802A51"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E43586"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FE63630"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DB9A77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5ADD92"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26F2F33F"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5D286ADC" w14:textId="77777777" w:rsidTr="00B86C52">
              <w:trPr>
                <w:trHeight w:val="300"/>
              </w:trPr>
              <w:tc>
                <w:tcPr>
                  <w:tcW w:w="5200" w:type="dxa"/>
                  <w:gridSpan w:val="4"/>
                  <w:tcBorders>
                    <w:top w:val="nil"/>
                    <w:left w:val="nil"/>
                    <w:bottom w:val="nil"/>
                    <w:right w:val="nil"/>
                  </w:tcBorders>
                  <w:shd w:val="clear" w:color="auto" w:fill="auto"/>
                  <w:noWrap/>
                  <w:vAlign w:val="bottom"/>
                  <w:hideMark/>
                </w:tcPr>
                <w:p w14:paraId="7D4EE1CE"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 xml:space="preserve">Papers with first and/or last last author from CUNI </w:t>
                  </w:r>
                </w:p>
              </w:tc>
              <w:tc>
                <w:tcPr>
                  <w:tcW w:w="1300" w:type="dxa"/>
                  <w:tcBorders>
                    <w:top w:val="nil"/>
                    <w:left w:val="nil"/>
                    <w:bottom w:val="nil"/>
                    <w:right w:val="nil"/>
                  </w:tcBorders>
                  <w:shd w:val="clear" w:color="auto" w:fill="auto"/>
                  <w:noWrap/>
                  <w:vAlign w:val="bottom"/>
                  <w:hideMark/>
                </w:tcPr>
                <w:p w14:paraId="563989F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86F3C9E"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5E7582D1"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12</w:t>
                  </w:r>
                </w:p>
              </w:tc>
            </w:tr>
            <w:tr w:rsidR="001915DE" w:rsidRPr="00AC72BF" w14:paraId="788771D8" w14:textId="77777777" w:rsidTr="00B86C52">
              <w:trPr>
                <w:trHeight w:val="300"/>
              </w:trPr>
              <w:tc>
                <w:tcPr>
                  <w:tcW w:w="1300" w:type="dxa"/>
                  <w:tcBorders>
                    <w:top w:val="nil"/>
                    <w:left w:val="nil"/>
                    <w:bottom w:val="nil"/>
                    <w:right w:val="nil"/>
                  </w:tcBorders>
                  <w:shd w:val="clear" w:color="auto" w:fill="auto"/>
                  <w:noWrap/>
                  <w:vAlign w:val="bottom"/>
                  <w:hideMark/>
                </w:tcPr>
                <w:p w14:paraId="72985914"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99E4854"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49A64B"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C7D54AD"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264AFC"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B179317"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3272C8A0" w14:textId="77777777" w:rsidR="001915DE" w:rsidRPr="00AC72BF" w:rsidRDefault="001915DE" w:rsidP="003672BA">
                  <w:pPr>
                    <w:ind w:right="93"/>
                    <w:rPr>
                      <w:rFonts w:ascii="Times New Roman" w:eastAsia="Times New Roman" w:hAnsi="Times New Roman"/>
                      <w:color w:val="000000"/>
                      <w:sz w:val="24"/>
                      <w:szCs w:val="24"/>
                      <w:lang w:val="en-GB"/>
                    </w:rPr>
                  </w:pPr>
                </w:p>
              </w:tc>
            </w:tr>
            <w:tr w:rsidR="001915DE" w:rsidRPr="00AC72BF" w14:paraId="1BA89B4D" w14:textId="77777777" w:rsidTr="00B86C52">
              <w:trPr>
                <w:trHeight w:val="300"/>
              </w:trPr>
              <w:tc>
                <w:tcPr>
                  <w:tcW w:w="6500" w:type="dxa"/>
                  <w:gridSpan w:val="5"/>
                  <w:tcBorders>
                    <w:top w:val="nil"/>
                    <w:left w:val="nil"/>
                    <w:bottom w:val="nil"/>
                    <w:right w:val="nil"/>
                  </w:tcBorders>
                  <w:shd w:val="clear" w:color="auto" w:fill="auto"/>
                  <w:noWrap/>
                  <w:vAlign w:val="bottom"/>
                  <w:hideMark/>
                </w:tcPr>
                <w:p w14:paraId="7F2775DC"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lastRenderedPageBreak/>
                    <w:t xml:space="preserve">Papers with shared first and/or shared last author from CUNI </w:t>
                  </w:r>
                </w:p>
              </w:tc>
              <w:tc>
                <w:tcPr>
                  <w:tcW w:w="1300" w:type="dxa"/>
                  <w:tcBorders>
                    <w:top w:val="nil"/>
                    <w:left w:val="nil"/>
                    <w:bottom w:val="nil"/>
                    <w:right w:val="nil"/>
                  </w:tcBorders>
                  <w:shd w:val="clear" w:color="auto" w:fill="auto"/>
                  <w:noWrap/>
                  <w:vAlign w:val="bottom"/>
                  <w:hideMark/>
                </w:tcPr>
                <w:p w14:paraId="27E165A5" w14:textId="77777777" w:rsidR="001915DE" w:rsidRPr="00AC72BF" w:rsidRDefault="001915DE" w:rsidP="003672BA">
                  <w:pPr>
                    <w:ind w:right="93"/>
                    <w:rPr>
                      <w:rFonts w:ascii="Times New Roman" w:eastAsia="Times New Roman" w:hAnsi="Times New Roman"/>
                      <w:color w:val="000000"/>
                      <w:sz w:val="24"/>
                      <w:szCs w:val="24"/>
                      <w:lang w:val="en-GB"/>
                    </w:rPr>
                  </w:pPr>
                </w:p>
              </w:tc>
              <w:tc>
                <w:tcPr>
                  <w:tcW w:w="1840" w:type="dxa"/>
                  <w:tcBorders>
                    <w:top w:val="nil"/>
                    <w:left w:val="nil"/>
                    <w:bottom w:val="nil"/>
                    <w:right w:val="nil"/>
                  </w:tcBorders>
                  <w:shd w:val="clear" w:color="auto" w:fill="auto"/>
                  <w:noWrap/>
                  <w:vAlign w:val="bottom"/>
                  <w:hideMark/>
                </w:tcPr>
                <w:p w14:paraId="0D053400" w14:textId="77777777" w:rsidR="001915DE" w:rsidRPr="00AC72BF" w:rsidRDefault="001915DE" w:rsidP="003672BA">
                  <w:pPr>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w:t>
                  </w:r>
                </w:p>
              </w:tc>
            </w:tr>
          </w:tbl>
          <w:p w14:paraId="2D3CCE9C"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p>
          <w:p w14:paraId="10CEF457"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noProof/>
                <w:sz w:val="24"/>
                <w:szCs w:val="24"/>
                <w:lang w:eastAsia="cs-CZ"/>
              </w:rPr>
              <w:drawing>
                <wp:inline distT="0" distB="0" distL="0" distR="0" wp14:anchorId="50EAB3D7" wp14:editId="570219FE">
                  <wp:extent cx="64008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6E8073E3" w14:textId="77777777" w:rsidR="001915DE" w:rsidRPr="00AC72BF" w:rsidRDefault="001915DE" w:rsidP="003672BA">
            <w:pPr>
              <w:pStyle w:val="Odstavecseseznamem"/>
              <w:spacing w:after="0" w:line="360" w:lineRule="auto"/>
              <w:ind w:left="360" w:right="93"/>
              <w:jc w:val="both"/>
              <w:rPr>
                <w:rFonts w:ascii="Times New Roman" w:hAnsi="Times New Roman"/>
                <w:bCs/>
                <w:sz w:val="24"/>
                <w:szCs w:val="24"/>
                <w:lang w:val="en-GB"/>
              </w:rPr>
            </w:pPr>
          </w:p>
          <w:p w14:paraId="5E6F783C"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56482E4"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13EE8DED" w14:textId="77777777" w:rsidTr="00447D4E">
        <w:trPr>
          <w:trHeight w:val="300"/>
        </w:trPr>
        <w:tc>
          <w:tcPr>
            <w:tcW w:w="15099" w:type="dxa"/>
            <w:gridSpan w:val="8"/>
            <w:tcBorders>
              <w:top w:val="nil"/>
              <w:left w:val="nil"/>
              <w:bottom w:val="nil"/>
              <w:right w:val="nil"/>
            </w:tcBorders>
            <w:shd w:val="clear" w:color="auto" w:fill="auto"/>
            <w:noWrap/>
            <w:vAlign w:val="bottom"/>
            <w:hideMark/>
          </w:tcPr>
          <w:p w14:paraId="5668D8D4"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0F5325C5" w14:textId="296AD513"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0E7607AF" w14:textId="71B6468B" w:rsidR="00EF6A61" w:rsidRPr="00EF6A61" w:rsidRDefault="00011ABA"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lastRenderedPageBreak/>
              <w:t>ENDOCRINOLOGY &amp; METABOLISM</w:t>
            </w:r>
          </w:p>
          <w:p w14:paraId="61118F0D" w14:textId="77777777" w:rsidR="00EF6A61" w:rsidRPr="009059BA" w:rsidRDefault="00EF6A61" w:rsidP="003672BA">
            <w:pPr>
              <w:pStyle w:val="Odstavecseseznamem"/>
              <w:spacing w:after="0" w:line="360" w:lineRule="auto"/>
              <w:ind w:left="360" w:right="93"/>
              <w:jc w:val="both"/>
              <w:rPr>
                <w:rFonts w:ascii="Times New Roman" w:hAnsi="Times New Roman"/>
                <w:bCs/>
                <w:sz w:val="24"/>
                <w:szCs w:val="24"/>
                <w:lang w:val="en-GB"/>
              </w:rPr>
            </w:pPr>
            <w:r w:rsidRPr="009059BA">
              <w:rPr>
                <w:rFonts w:ascii="Times New Roman" w:hAnsi="Times New Roman"/>
                <w:bCs/>
                <w:sz w:val="24"/>
                <w:szCs w:val="24"/>
                <w:lang w:val="en-GB"/>
              </w:rPr>
              <w:t>287 (330 - 43 duplicates) scientific peer-reviewed papers formed the basis for this evaluation.</w:t>
            </w:r>
          </w:p>
          <w:p w14:paraId="79A9D4B0" w14:textId="77777777" w:rsidR="00EF6A61" w:rsidRPr="009059BA" w:rsidRDefault="00EF6A61" w:rsidP="003672BA">
            <w:pPr>
              <w:pStyle w:val="Odstavecseseznamem"/>
              <w:spacing w:after="0" w:line="360" w:lineRule="auto"/>
              <w:ind w:left="360"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 xml:space="preserve">Table 1: Distribution of paper according to journal rank and faculty. </w:t>
            </w:r>
          </w:p>
          <w:tbl>
            <w:tblPr>
              <w:tblStyle w:val="Mkatabulky"/>
              <w:tblW w:w="0" w:type="auto"/>
              <w:tblLook w:val="04A0" w:firstRow="1" w:lastRow="0" w:firstColumn="1" w:lastColumn="0" w:noHBand="0" w:noVBand="1"/>
            </w:tblPr>
            <w:tblGrid>
              <w:gridCol w:w="2830"/>
              <w:gridCol w:w="1402"/>
              <w:gridCol w:w="1522"/>
              <w:gridCol w:w="1522"/>
              <w:gridCol w:w="1269"/>
              <w:gridCol w:w="1269"/>
            </w:tblGrid>
            <w:tr w:rsidR="00EF6A61" w:rsidRPr="009059BA" w14:paraId="32C2FEC9" w14:textId="77777777" w:rsidTr="003672BA">
              <w:trPr>
                <w:trHeight w:val="452"/>
              </w:trPr>
              <w:tc>
                <w:tcPr>
                  <w:tcW w:w="2830" w:type="dxa"/>
                  <w:hideMark/>
                </w:tcPr>
                <w:p w14:paraId="03516485" w14:textId="77777777" w:rsidR="00EF6A61" w:rsidRPr="009059BA" w:rsidRDefault="00EF6A61" w:rsidP="003672BA">
                  <w:pPr>
                    <w:pStyle w:val="Odstavecseseznamem"/>
                    <w:spacing w:line="360" w:lineRule="auto"/>
                    <w:ind w:left="357" w:right="93"/>
                    <w:jc w:val="right"/>
                    <w:rPr>
                      <w:rFonts w:ascii="Times New Roman" w:hAnsi="Times New Roman"/>
                      <w:bCs/>
                      <w:sz w:val="24"/>
                      <w:szCs w:val="24"/>
                      <w:lang w:val="en-GB"/>
                    </w:rPr>
                  </w:pPr>
                  <w:r w:rsidRPr="009059BA">
                    <w:rPr>
                      <w:rFonts w:ascii="Times New Roman" w:hAnsi="Times New Roman"/>
                      <w:bCs/>
                      <w:sz w:val="24"/>
                      <w:szCs w:val="24"/>
                    </w:rPr>
                    <w:t>Journal “Rank”</w:t>
                  </w:r>
                </w:p>
              </w:tc>
              <w:tc>
                <w:tcPr>
                  <w:tcW w:w="1402" w:type="dxa"/>
                  <w:hideMark/>
                </w:tcPr>
                <w:p w14:paraId="6489EA1A"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D1</w:t>
                  </w:r>
                </w:p>
              </w:tc>
              <w:tc>
                <w:tcPr>
                  <w:tcW w:w="1522" w:type="dxa"/>
                  <w:hideMark/>
                </w:tcPr>
                <w:p w14:paraId="19E6D299"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Q1</w:t>
                  </w:r>
                </w:p>
              </w:tc>
              <w:tc>
                <w:tcPr>
                  <w:tcW w:w="1522" w:type="dxa"/>
                  <w:hideMark/>
                </w:tcPr>
                <w:p w14:paraId="4729F852"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Q2</w:t>
                  </w:r>
                </w:p>
              </w:tc>
              <w:tc>
                <w:tcPr>
                  <w:tcW w:w="1176" w:type="dxa"/>
                  <w:hideMark/>
                </w:tcPr>
                <w:p w14:paraId="3028393B"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Q3</w:t>
                  </w:r>
                </w:p>
              </w:tc>
              <w:tc>
                <w:tcPr>
                  <w:tcW w:w="1176" w:type="dxa"/>
                  <w:hideMark/>
                </w:tcPr>
                <w:p w14:paraId="1228654D" w14:textId="77777777" w:rsidR="00EF6A61" w:rsidRPr="009059BA" w:rsidRDefault="00EF6A61" w:rsidP="003672BA">
                  <w:pPr>
                    <w:spacing w:after="0" w:line="360" w:lineRule="auto"/>
                    <w:ind w:right="93"/>
                    <w:jc w:val="center"/>
                    <w:rPr>
                      <w:rFonts w:ascii="Times New Roman" w:hAnsi="Times New Roman"/>
                      <w:bCs/>
                      <w:sz w:val="24"/>
                      <w:szCs w:val="24"/>
                    </w:rPr>
                  </w:pPr>
                  <w:r w:rsidRPr="009059BA">
                    <w:rPr>
                      <w:rFonts w:ascii="Times New Roman" w:hAnsi="Times New Roman"/>
                      <w:bCs/>
                      <w:sz w:val="24"/>
                      <w:szCs w:val="24"/>
                    </w:rPr>
                    <w:t>Q4</w:t>
                  </w:r>
                </w:p>
              </w:tc>
            </w:tr>
            <w:tr w:rsidR="00EF6A61" w:rsidRPr="009059BA" w14:paraId="42003251" w14:textId="77777777" w:rsidTr="003672BA">
              <w:trPr>
                <w:trHeight w:val="416"/>
              </w:trPr>
              <w:tc>
                <w:tcPr>
                  <w:tcW w:w="2830" w:type="dxa"/>
                  <w:hideMark/>
                </w:tcPr>
                <w:p w14:paraId="7DB52741"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Total number (#)</w:t>
                  </w:r>
                </w:p>
              </w:tc>
              <w:tc>
                <w:tcPr>
                  <w:tcW w:w="1402" w:type="dxa"/>
                  <w:hideMark/>
                </w:tcPr>
                <w:p w14:paraId="29AFD855"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29</w:t>
                  </w:r>
                </w:p>
              </w:tc>
              <w:tc>
                <w:tcPr>
                  <w:tcW w:w="1522" w:type="dxa"/>
                  <w:hideMark/>
                </w:tcPr>
                <w:p w14:paraId="5A0B081F"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63</w:t>
                  </w:r>
                </w:p>
              </w:tc>
              <w:tc>
                <w:tcPr>
                  <w:tcW w:w="1522" w:type="dxa"/>
                  <w:hideMark/>
                </w:tcPr>
                <w:p w14:paraId="744385E5"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100</w:t>
                  </w:r>
                </w:p>
              </w:tc>
              <w:tc>
                <w:tcPr>
                  <w:tcW w:w="1176" w:type="dxa"/>
                  <w:hideMark/>
                </w:tcPr>
                <w:p w14:paraId="5D748CF6"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41</w:t>
                  </w:r>
                </w:p>
              </w:tc>
              <w:tc>
                <w:tcPr>
                  <w:tcW w:w="1176" w:type="dxa"/>
                  <w:hideMark/>
                </w:tcPr>
                <w:p w14:paraId="5B50B36D" w14:textId="77777777" w:rsidR="00EF6A61" w:rsidRPr="009059BA" w:rsidRDefault="00EF6A61" w:rsidP="003672BA">
                  <w:pPr>
                    <w:pStyle w:val="Odstavecseseznamem"/>
                    <w:spacing w:after="0" w:line="360" w:lineRule="auto"/>
                    <w:ind w:left="360" w:right="93"/>
                    <w:rPr>
                      <w:rFonts w:ascii="Times New Roman" w:hAnsi="Times New Roman"/>
                      <w:b/>
                      <w:bCs/>
                      <w:sz w:val="24"/>
                      <w:szCs w:val="24"/>
                    </w:rPr>
                  </w:pPr>
                  <w:r w:rsidRPr="009059BA">
                    <w:rPr>
                      <w:rFonts w:ascii="Times New Roman" w:hAnsi="Times New Roman"/>
                      <w:b/>
                      <w:bCs/>
                      <w:sz w:val="24"/>
                      <w:szCs w:val="24"/>
                    </w:rPr>
                    <w:t>97</w:t>
                  </w:r>
                </w:p>
              </w:tc>
            </w:tr>
            <w:tr w:rsidR="00EF6A61" w:rsidRPr="009059BA" w14:paraId="5FAF5E07" w14:textId="77777777" w:rsidTr="003672BA">
              <w:trPr>
                <w:trHeight w:val="330"/>
              </w:trPr>
              <w:tc>
                <w:tcPr>
                  <w:tcW w:w="2830" w:type="dxa"/>
                </w:tcPr>
                <w:p w14:paraId="1C971F7A"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Duplicates</w:t>
                  </w:r>
                </w:p>
              </w:tc>
              <w:tc>
                <w:tcPr>
                  <w:tcW w:w="1402" w:type="dxa"/>
                </w:tcPr>
                <w:p w14:paraId="6C9F3AD3"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w:t>
                  </w:r>
                </w:p>
              </w:tc>
              <w:tc>
                <w:tcPr>
                  <w:tcW w:w="1522" w:type="dxa"/>
                </w:tcPr>
                <w:p w14:paraId="33A090A3"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tcPr>
                <w:p w14:paraId="31D98AEB"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16</w:t>
                  </w:r>
                </w:p>
              </w:tc>
              <w:tc>
                <w:tcPr>
                  <w:tcW w:w="1176" w:type="dxa"/>
                </w:tcPr>
                <w:p w14:paraId="01B31AB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w:t>
                  </w:r>
                </w:p>
              </w:tc>
              <w:tc>
                <w:tcPr>
                  <w:tcW w:w="1176" w:type="dxa"/>
                </w:tcPr>
                <w:p w14:paraId="4F147A9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17</w:t>
                  </w:r>
                </w:p>
              </w:tc>
            </w:tr>
            <w:tr w:rsidR="00EF6A61" w:rsidRPr="009059BA" w14:paraId="56F8A600" w14:textId="77777777" w:rsidTr="003672BA">
              <w:trPr>
                <w:trHeight w:val="330"/>
              </w:trPr>
              <w:tc>
                <w:tcPr>
                  <w:tcW w:w="2830" w:type="dxa"/>
                  <w:hideMark/>
                </w:tcPr>
                <w:p w14:paraId="65B7105A"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1.LF</w:t>
                  </w:r>
                </w:p>
              </w:tc>
              <w:tc>
                <w:tcPr>
                  <w:tcW w:w="1402" w:type="dxa"/>
                  <w:hideMark/>
                </w:tcPr>
                <w:p w14:paraId="3AFB366B"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12</w:t>
                  </w:r>
                </w:p>
              </w:tc>
              <w:tc>
                <w:tcPr>
                  <w:tcW w:w="1522" w:type="dxa"/>
                  <w:hideMark/>
                </w:tcPr>
                <w:p w14:paraId="52638C0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28</w:t>
                  </w:r>
                </w:p>
              </w:tc>
              <w:tc>
                <w:tcPr>
                  <w:tcW w:w="1522" w:type="dxa"/>
                  <w:hideMark/>
                </w:tcPr>
                <w:p w14:paraId="4FFFA443"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52</w:t>
                  </w:r>
                </w:p>
              </w:tc>
              <w:tc>
                <w:tcPr>
                  <w:tcW w:w="1176" w:type="dxa"/>
                  <w:hideMark/>
                </w:tcPr>
                <w:p w14:paraId="1D4D6F4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15</w:t>
                  </w:r>
                </w:p>
              </w:tc>
              <w:tc>
                <w:tcPr>
                  <w:tcW w:w="1176" w:type="dxa"/>
                  <w:hideMark/>
                </w:tcPr>
                <w:p w14:paraId="3EB23DC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50</w:t>
                  </w:r>
                </w:p>
              </w:tc>
            </w:tr>
            <w:tr w:rsidR="00EF6A61" w:rsidRPr="009059BA" w14:paraId="5B9B4690" w14:textId="77777777" w:rsidTr="003672BA">
              <w:trPr>
                <w:trHeight w:val="330"/>
              </w:trPr>
              <w:tc>
                <w:tcPr>
                  <w:tcW w:w="2830" w:type="dxa"/>
                  <w:hideMark/>
                </w:tcPr>
                <w:p w14:paraId="1C053C5F"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2.LF</w:t>
                  </w:r>
                </w:p>
              </w:tc>
              <w:tc>
                <w:tcPr>
                  <w:tcW w:w="1402" w:type="dxa"/>
                  <w:hideMark/>
                </w:tcPr>
                <w:p w14:paraId="0FE9D158"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10</w:t>
                  </w:r>
                </w:p>
              </w:tc>
              <w:tc>
                <w:tcPr>
                  <w:tcW w:w="1522" w:type="dxa"/>
                  <w:hideMark/>
                </w:tcPr>
                <w:p w14:paraId="1810E5B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12</w:t>
                  </w:r>
                </w:p>
              </w:tc>
              <w:tc>
                <w:tcPr>
                  <w:tcW w:w="1522" w:type="dxa"/>
                  <w:hideMark/>
                </w:tcPr>
                <w:p w14:paraId="5B49D25B"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15</w:t>
                  </w:r>
                </w:p>
              </w:tc>
              <w:tc>
                <w:tcPr>
                  <w:tcW w:w="1176" w:type="dxa"/>
                  <w:hideMark/>
                </w:tcPr>
                <w:p w14:paraId="3A17D955"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9</w:t>
                  </w:r>
                </w:p>
              </w:tc>
              <w:tc>
                <w:tcPr>
                  <w:tcW w:w="1176" w:type="dxa"/>
                  <w:hideMark/>
                </w:tcPr>
                <w:p w14:paraId="3FF9576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12</w:t>
                  </w:r>
                </w:p>
              </w:tc>
            </w:tr>
            <w:tr w:rsidR="00EF6A61" w:rsidRPr="009059BA" w14:paraId="140C574E" w14:textId="77777777" w:rsidTr="003672BA">
              <w:trPr>
                <w:trHeight w:val="330"/>
              </w:trPr>
              <w:tc>
                <w:tcPr>
                  <w:tcW w:w="2830" w:type="dxa"/>
                  <w:hideMark/>
                </w:tcPr>
                <w:p w14:paraId="6EEEDFF8"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3.LF</w:t>
                  </w:r>
                </w:p>
              </w:tc>
              <w:tc>
                <w:tcPr>
                  <w:tcW w:w="1402" w:type="dxa"/>
                  <w:hideMark/>
                </w:tcPr>
                <w:p w14:paraId="5D132F3E"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w:t>
                  </w:r>
                </w:p>
              </w:tc>
              <w:tc>
                <w:tcPr>
                  <w:tcW w:w="1522" w:type="dxa"/>
                  <w:hideMark/>
                </w:tcPr>
                <w:p w14:paraId="44084AFE"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19</w:t>
                  </w:r>
                </w:p>
              </w:tc>
              <w:tc>
                <w:tcPr>
                  <w:tcW w:w="1522" w:type="dxa"/>
                  <w:hideMark/>
                </w:tcPr>
                <w:p w14:paraId="0D31DA9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16</w:t>
                  </w:r>
                </w:p>
              </w:tc>
              <w:tc>
                <w:tcPr>
                  <w:tcW w:w="1176" w:type="dxa"/>
                  <w:hideMark/>
                </w:tcPr>
                <w:p w14:paraId="4C9B0D3F"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10</w:t>
                  </w:r>
                </w:p>
              </w:tc>
              <w:tc>
                <w:tcPr>
                  <w:tcW w:w="1176" w:type="dxa"/>
                  <w:hideMark/>
                </w:tcPr>
                <w:p w14:paraId="73580D8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17</w:t>
                  </w:r>
                </w:p>
              </w:tc>
            </w:tr>
            <w:tr w:rsidR="00EF6A61" w:rsidRPr="009059BA" w14:paraId="7FD26411" w14:textId="77777777" w:rsidTr="003672BA">
              <w:trPr>
                <w:trHeight w:val="423"/>
              </w:trPr>
              <w:tc>
                <w:tcPr>
                  <w:tcW w:w="2830" w:type="dxa"/>
                  <w:hideMark/>
                </w:tcPr>
                <w:p w14:paraId="387DFBAA"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FaF HK</w:t>
                  </w:r>
                </w:p>
              </w:tc>
              <w:tc>
                <w:tcPr>
                  <w:tcW w:w="1402" w:type="dxa"/>
                  <w:hideMark/>
                </w:tcPr>
                <w:p w14:paraId="542C88A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hideMark/>
                </w:tcPr>
                <w:p w14:paraId="4B83CEC7"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hideMark/>
                </w:tcPr>
                <w:p w14:paraId="1AA08D2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c>
                <w:tcPr>
                  <w:tcW w:w="1176" w:type="dxa"/>
                  <w:hideMark/>
                </w:tcPr>
                <w:p w14:paraId="1C53B10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176" w:type="dxa"/>
                  <w:hideMark/>
                </w:tcPr>
                <w:p w14:paraId="51BAA17F"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r>
            <w:tr w:rsidR="00EF6A61" w:rsidRPr="009059BA" w14:paraId="49779292" w14:textId="77777777" w:rsidTr="003672BA">
              <w:trPr>
                <w:trHeight w:val="330"/>
              </w:trPr>
              <w:tc>
                <w:tcPr>
                  <w:tcW w:w="2830" w:type="dxa"/>
                  <w:hideMark/>
                </w:tcPr>
                <w:p w14:paraId="4555E5B3"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#LFHK</w:t>
                  </w:r>
                </w:p>
              </w:tc>
              <w:tc>
                <w:tcPr>
                  <w:tcW w:w="1402" w:type="dxa"/>
                  <w:hideMark/>
                </w:tcPr>
                <w:p w14:paraId="0B59D1E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c>
                <w:tcPr>
                  <w:tcW w:w="1522" w:type="dxa"/>
                  <w:hideMark/>
                </w:tcPr>
                <w:p w14:paraId="0FD5740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w:t>
                  </w:r>
                </w:p>
              </w:tc>
              <w:tc>
                <w:tcPr>
                  <w:tcW w:w="1522" w:type="dxa"/>
                  <w:hideMark/>
                </w:tcPr>
                <w:p w14:paraId="0AD077A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7</w:t>
                  </w:r>
                </w:p>
              </w:tc>
              <w:tc>
                <w:tcPr>
                  <w:tcW w:w="1176" w:type="dxa"/>
                  <w:hideMark/>
                </w:tcPr>
                <w:p w14:paraId="7A8BE07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w:t>
                  </w:r>
                </w:p>
              </w:tc>
              <w:tc>
                <w:tcPr>
                  <w:tcW w:w="1176" w:type="dxa"/>
                  <w:hideMark/>
                </w:tcPr>
                <w:p w14:paraId="633027E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10</w:t>
                  </w:r>
                </w:p>
              </w:tc>
            </w:tr>
            <w:tr w:rsidR="00EF6A61" w:rsidRPr="009059BA" w14:paraId="69C07DED" w14:textId="77777777" w:rsidTr="003672BA">
              <w:trPr>
                <w:trHeight w:val="330"/>
              </w:trPr>
              <w:tc>
                <w:tcPr>
                  <w:tcW w:w="2830" w:type="dxa"/>
                  <w:hideMark/>
                </w:tcPr>
                <w:p w14:paraId="0B3EDA16"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LFPI</w:t>
                  </w:r>
                </w:p>
              </w:tc>
              <w:tc>
                <w:tcPr>
                  <w:tcW w:w="1402" w:type="dxa"/>
                  <w:hideMark/>
                </w:tcPr>
                <w:p w14:paraId="054138D1"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w:t>
                  </w:r>
                </w:p>
              </w:tc>
              <w:tc>
                <w:tcPr>
                  <w:tcW w:w="1522" w:type="dxa"/>
                  <w:hideMark/>
                </w:tcPr>
                <w:p w14:paraId="322D4D98"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0</w:t>
                  </w:r>
                </w:p>
              </w:tc>
              <w:tc>
                <w:tcPr>
                  <w:tcW w:w="1522" w:type="dxa"/>
                  <w:hideMark/>
                </w:tcPr>
                <w:p w14:paraId="0F06856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9</w:t>
                  </w:r>
                </w:p>
              </w:tc>
              <w:tc>
                <w:tcPr>
                  <w:tcW w:w="1176" w:type="dxa"/>
                  <w:hideMark/>
                </w:tcPr>
                <w:p w14:paraId="0837A6D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3</w:t>
                  </w:r>
                </w:p>
              </w:tc>
              <w:tc>
                <w:tcPr>
                  <w:tcW w:w="1176" w:type="dxa"/>
                  <w:hideMark/>
                </w:tcPr>
                <w:p w14:paraId="5A076BD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7</w:t>
                  </w:r>
                </w:p>
              </w:tc>
            </w:tr>
            <w:tr w:rsidR="00EF6A61" w:rsidRPr="009059BA" w14:paraId="3920C24B" w14:textId="77777777" w:rsidTr="003672BA">
              <w:trPr>
                <w:trHeight w:val="330"/>
              </w:trPr>
              <w:tc>
                <w:tcPr>
                  <w:tcW w:w="2830" w:type="dxa"/>
                </w:tcPr>
                <w:p w14:paraId="18ABEC1B"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Citations *</w:t>
                  </w:r>
                </w:p>
              </w:tc>
              <w:tc>
                <w:tcPr>
                  <w:tcW w:w="1402" w:type="dxa"/>
                </w:tcPr>
                <w:p w14:paraId="168D76B7"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5589</w:t>
                  </w:r>
                </w:p>
              </w:tc>
              <w:tc>
                <w:tcPr>
                  <w:tcW w:w="1522" w:type="dxa"/>
                </w:tcPr>
                <w:p w14:paraId="4C101914"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1173</w:t>
                  </w:r>
                </w:p>
              </w:tc>
              <w:tc>
                <w:tcPr>
                  <w:tcW w:w="1522" w:type="dxa"/>
                </w:tcPr>
                <w:p w14:paraId="209F02D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1327</w:t>
                  </w:r>
                </w:p>
              </w:tc>
              <w:tc>
                <w:tcPr>
                  <w:tcW w:w="1176" w:type="dxa"/>
                </w:tcPr>
                <w:p w14:paraId="0F3D8FA9"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529</w:t>
                  </w:r>
                </w:p>
              </w:tc>
              <w:tc>
                <w:tcPr>
                  <w:tcW w:w="1176" w:type="dxa"/>
                </w:tcPr>
                <w:p w14:paraId="47BD02C9"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435</w:t>
                  </w:r>
                </w:p>
              </w:tc>
            </w:tr>
            <w:tr w:rsidR="00EF6A61" w:rsidRPr="009059BA" w14:paraId="316DE3B0" w14:textId="77777777" w:rsidTr="003672BA">
              <w:trPr>
                <w:trHeight w:val="509"/>
              </w:trPr>
              <w:tc>
                <w:tcPr>
                  <w:tcW w:w="2830" w:type="dxa"/>
                  <w:hideMark/>
                </w:tcPr>
                <w:p w14:paraId="38CA98F4"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First author CUNI *</w:t>
                  </w:r>
                </w:p>
              </w:tc>
              <w:tc>
                <w:tcPr>
                  <w:tcW w:w="1402" w:type="dxa"/>
                  <w:hideMark/>
                </w:tcPr>
                <w:p w14:paraId="4F5A9D16"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  (17%)</w:t>
                  </w:r>
                </w:p>
              </w:tc>
              <w:tc>
                <w:tcPr>
                  <w:tcW w:w="1522" w:type="dxa"/>
                  <w:hideMark/>
                </w:tcPr>
                <w:p w14:paraId="624923A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24  (38%)</w:t>
                  </w:r>
                </w:p>
              </w:tc>
              <w:tc>
                <w:tcPr>
                  <w:tcW w:w="1522" w:type="dxa"/>
                  <w:hideMark/>
                </w:tcPr>
                <w:p w14:paraId="2AEA2652"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44  (52%)</w:t>
                  </w:r>
                </w:p>
              </w:tc>
              <w:tc>
                <w:tcPr>
                  <w:tcW w:w="1176" w:type="dxa"/>
                  <w:hideMark/>
                </w:tcPr>
                <w:p w14:paraId="73CCF167"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22 (61%)</w:t>
                  </w:r>
                </w:p>
              </w:tc>
              <w:tc>
                <w:tcPr>
                  <w:tcW w:w="1176" w:type="dxa"/>
                  <w:hideMark/>
                </w:tcPr>
                <w:p w14:paraId="1855DF8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57 (71%)</w:t>
                  </w:r>
                </w:p>
              </w:tc>
            </w:tr>
            <w:tr w:rsidR="00EF6A61" w:rsidRPr="009059BA" w14:paraId="166913A7" w14:textId="77777777" w:rsidTr="003672BA">
              <w:trPr>
                <w:trHeight w:val="417"/>
              </w:trPr>
              <w:tc>
                <w:tcPr>
                  <w:tcW w:w="2830" w:type="dxa"/>
                  <w:hideMark/>
                </w:tcPr>
                <w:p w14:paraId="5FC4AB01" w14:textId="77777777" w:rsidR="00EF6A61" w:rsidRPr="009059BA" w:rsidRDefault="00EF6A61" w:rsidP="003672BA">
                  <w:pPr>
                    <w:pStyle w:val="Odstavecseseznamem"/>
                    <w:spacing w:after="0" w:line="360" w:lineRule="auto"/>
                    <w:ind w:left="357" w:right="93"/>
                    <w:jc w:val="right"/>
                    <w:rPr>
                      <w:rFonts w:ascii="Times New Roman" w:hAnsi="Times New Roman"/>
                      <w:bCs/>
                      <w:sz w:val="24"/>
                      <w:szCs w:val="24"/>
                    </w:rPr>
                  </w:pPr>
                  <w:r w:rsidRPr="009059BA">
                    <w:rPr>
                      <w:rFonts w:ascii="Times New Roman" w:hAnsi="Times New Roman"/>
                      <w:bCs/>
                      <w:sz w:val="24"/>
                      <w:szCs w:val="24"/>
                    </w:rPr>
                    <w:t># Last authors CUNI *</w:t>
                  </w:r>
                </w:p>
              </w:tc>
              <w:tc>
                <w:tcPr>
                  <w:tcW w:w="1402" w:type="dxa"/>
                  <w:hideMark/>
                </w:tcPr>
                <w:p w14:paraId="16E13DED"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4</w:t>
                  </w:r>
                </w:p>
                <w:p w14:paraId="5A116A8A"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(17%)</w:t>
                  </w:r>
                </w:p>
              </w:tc>
              <w:tc>
                <w:tcPr>
                  <w:tcW w:w="1522" w:type="dxa"/>
                  <w:hideMark/>
                </w:tcPr>
                <w:p w14:paraId="693107DF"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22  (35%)</w:t>
                  </w:r>
                </w:p>
              </w:tc>
              <w:tc>
                <w:tcPr>
                  <w:tcW w:w="1522" w:type="dxa"/>
                  <w:hideMark/>
                </w:tcPr>
                <w:p w14:paraId="1907EAC1"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38  (45%)</w:t>
                  </w:r>
                </w:p>
              </w:tc>
              <w:tc>
                <w:tcPr>
                  <w:tcW w:w="1176" w:type="dxa"/>
                  <w:hideMark/>
                </w:tcPr>
                <w:p w14:paraId="5FC5A170"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18 (50%)</w:t>
                  </w:r>
                </w:p>
              </w:tc>
              <w:tc>
                <w:tcPr>
                  <w:tcW w:w="1176" w:type="dxa"/>
                  <w:hideMark/>
                </w:tcPr>
                <w:p w14:paraId="3BCF2FC9" w14:textId="77777777" w:rsidR="00EF6A61" w:rsidRPr="009059BA" w:rsidRDefault="00EF6A61" w:rsidP="003672BA">
                  <w:pPr>
                    <w:pStyle w:val="Odstavecseseznamem"/>
                    <w:spacing w:after="0" w:line="360" w:lineRule="auto"/>
                    <w:ind w:left="360" w:right="93"/>
                    <w:rPr>
                      <w:rFonts w:ascii="Times New Roman" w:hAnsi="Times New Roman"/>
                      <w:bCs/>
                      <w:sz w:val="24"/>
                      <w:szCs w:val="24"/>
                    </w:rPr>
                  </w:pPr>
                  <w:r w:rsidRPr="009059BA">
                    <w:rPr>
                      <w:rFonts w:ascii="Times New Roman" w:hAnsi="Times New Roman"/>
                      <w:bCs/>
                      <w:sz w:val="24"/>
                      <w:szCs w:val="24"/>
                    </w:rPr>
                    <w:t>51 (64%)</w:t>
                  </w:r>
                </w:p>
              </w:tc>
            </w:tr>
          </w:tbl>
          <w:p w14:paraId="5823BB25" w14:textId="0D35FA10" w:rsidR="00EF6A61" w:rsidRPr="009059BA" w:rsidRDefault="00EF6A61" w:rsidP="003672BA">
            <w:pPr>
              <w:spacing w:after="0" w:line="360" w:lineRule="auto"/>
              <w:ind w:left="720" w:right="93"/>
              <w:jc w:val="both"/>
              <w:rPr>
                <w:rFonts w:ascii="Times New Roman" w:hAnsi="Times New Roman"/>
                <w:bCs/>
                <w:sz w:val="24"/>
                <w:szCs w:val="24"/>
                <w:lang w:val="en-GB"/>
              </w:rPr>
            </w:pPr>
            <w:r w:rsidRPr="009059BA">
              <w:rPr>
                <w:rFonts w:ascii="Times New Roman" w:hAnsi="Times New Roman"/>
                <w:bCs/>
                <w:sz w:val="24"/>
                <w:szCs w:val="24"/>
              </w:rPr>
              <w:t>* not including du</w:t>
            </w:r>
            <w:r w:rsidR="003D37A5">
              <w:rPr>
                <w:rFonts w:ascii="Times New Roman" w:hAnsi="Times New Roman"/>
                <w:bCs/>
                <w:sz w:val="24"/>
                <w:szCs w:val="24"/>
              </w:rPr>
              <w:t>p</w:t>
            </w:r>
            <w:r w:rsidRPr="009059BA">
              <w:rPr>
                <w:rFonts w:ascii="Times New Roman" w:hAnsi="Times New Roman"/>
                <w:bCs/>
                <w:sz w:val="24"/>
                <w:szCs w:val="24"/>
              </w:rPr>
              <w:t>licates</w:t>
            </w:r>
          </w:p>
          <w:p w14:paraId="6DCF4D3C"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The fact that there are duplicates only means that the specific paper is reported from different faculties (typically two, but sometime three). This is viewed only as a positive element, because it shows inter-faculty collaboration.</w:t>
            </w:r>
          </w:p>
          <w:p w14:paraId="44D2EBFC" w14:textId="121A16AB"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In general, in Endocrinology &amp; Metabolism, there is a quite satisfactory number of first- and last authorships in Q2-Q4. With increasing ranking of journals, this number decreases. In the top journals, it has dropped to 17%. W</w:t>
            </w:r>
            <w:r w:rsidR="00B76222">
              <w:rPr>
                <w:rFonts w:ascii="Times New Roman" w:hAnsi="Times New Roman"/>
                <w:bCs/>
                <w:sz w:val="24"/>
                <w:szCs w:val="24"/>
                <w:lang w:val="en-GB"/>
              </w:rPr>
              <w:t>hen a manuscript has</w:t>
            </w:r>
            <w:r w:rsidRPr="009059BA">
              <w:rPr>
                <w:rFonts w:ascii="Times New Roman" w:hAnsi="Times New Roman"/>
                <w:bCs/>
                <w:sz w:val="24"/>
                <w:szCs w:val="24"/>
                <w:lang w:val="en-GB"/>
              </w:rPr>
              <w:t xml:space="preserve"> a CUNI last author, there is reason to believe that the specific study originates from CUNI and therefore represent</w:t>
            </w:r>
            <w:r w:rsidR="00B76222">
              <w:rPr>
                <w:rFonts w:ascii="Times New Roman" w:hAnsi="Times New Roman"/>
                <w:bCs/>
                <w:sz w:val="24"/>
                <w:szCs w:val="24"/>
                <w:lang w:val="en-GB"/>
              </w:rPr>
              <w:t>s</w:t>
            </w:r>
            <w:r w:rsidRPr="009059BA">
              <w:rPr>
                <w:rFonts w:ascii="Times New Roman" w:hAnsi="Times New Roman"/>
                <w:bCs/>
                <w:sz w:val="24"/>
                <w:szCs w:val="24"/>
                <w:lang w:val="en-GB"/>
              </w:rPr>
              <w:t xml:space="preserve"> a “true” CUNI initiative and research idea. For D1 papers there are four last authors papers (two of these with both first and last authorship), which is quite satisfactory. Of these, a last author (Widimsky, Petr) paper (</w:t>
            </w:r>
            <w:r w:rsidRPr="009059BA">
              <w:rPr>
                <w:rFonts w:ascii="Times New Roman" w:hAnsi="Times New Roman"/>
                <w:bCs/>
                <w:i/>
                <w:sz w:val="24"/>
                <w:szCs w:val="24"/>
                <w:lang w:val="en-GB"/>
              </w:rPr>
              <w:t>Reperfusion therapy for ST elevation acute myocardial infarction 2010/2011: current status in 37 ESC.</w:t>
            </w:r>
            <w:r w:rsidRPr="009059BA">
              <w:rPr>
                <w:rFonts w:ascii="Times New Roman" w:hAnsi="Times New Roman"/>
                <w:bCs/>
                <w:sz w:val="24"/>
                <w:szCs w:val="24"/>
                <w:lang w:val="en-GB"/>
              </w:rPr>
              <w:t xml:space="preserve"> Eur Heart J) deserves to be mentioned, as it represent an example of a highly international collaborative research endeavour apparently led from CUNI. However, this reviewer is surprised that the paper is found in Endocrinology &amp; Metabolism, where it would have been more appropriate in the Cardiology section. The 29 papers in D1 are a nice mixture of basic, metabolic research and clinical trials/studies, predominantly within diabetes, dyslipidaemia, obesity, thyroid and adrenal diseases.</w:t>
            </w:r>
          </w:p>
          <w:p w14:paraId="6AB3FFAE"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If a paper has a first </w:t>
            </w:r>
            <w:r w:rsidRPr="009059BA">
              <w:rPr>
                <w:rFonts w:ascii="Times New Roman" w:hAnsi="Times New Roman"/>
                <w:bCs/>
                <w:sz w:val="24"/>
                <w:szCs w:val="24"/>
                <w:u w:val="single"/>
                <w:lang w:val="en-GB"/>
              </w:rPr>
              <w:t>and</w:t>
            </w:r>
            <w:r w:rsidRPr="009059BA">
              <w:rPr>
                <w:rFonts w:ascii="Times New Roman" w:hAnsi="Times New Roman"/>
                <w:bCs/>
                <w:sz w:val="24"/>
                <w:szCs w:val="24"/>
                <w:lang w:val="en-GB"/>
              </w:rPr>
              <w:t xml:space="preserve"> a last author from CUNI, the likelihood that the research is central to the research group is high, and therefore such papers may represent a core research effort by the faculty within this research field: </w:t>
            </w:r>
          </w:p>
          <w:p w14:paraId="1664ADF3" w14:textId="77777777" w:rsidR="00EF6A61" w:rsidRPr="009059BA" w:rsidRDefault="00EF6A61" w:rsidP="003672BA">
            <w:pPr>
              <w:spacing w:after="0" w:line="360" w:lineRule="auto"/>
              <w:ind w:right="93" w:firstLine="360"/>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 1</w:t>
            </w:r>
          </w:p>
          <w:p w14:paraId="2F7200CB" w14:textId="77777777" w:rsidR="00EF6A61" w:rsidRPr="009059BA" w:rsidRDefault="00EF6A61" w:rsidP="003672BA">
            <w:pPr>
              <w:spacing w:after="0" w:line="360" w:lineRule="auto"/>
              <w:ind w:right="93" w:firstLine="360"/>
              <w:jc w:val="both"/>
              <w:rPr>
                <w:rFonts w:ascii="Times New Roman" w:hAnsi="Times New Roman"/>
                <w:bCs/>
                <w:sz w:val="24"/>
                <w:szCs w:val="24"/>
                <w:u w:val="single"/>
                <w:lang w:val="en-GB"/>
              </w:rPr>
            </w:pPr>
            <w:r w:rsidRPr="009059BA">
              <w:rPr>
                <w:rFonts w:ascii="Times New Roman" w:hAnsi="Times New Roman"/>
                <w:noProof/>
                <w:sz w:val="24"/>
                <w:szCs w:val="24"/>
                <w:lang w:eastAsia="cs-CZ"/>
              </w:rPr>
              <w:lastRenderedPageBreak/>
              <w:drawing>
                <wp:inline distT="0" distB="0" distL="0" distR="0" wp14:anchorId="27815B10" wp14:editId="288F4BCE">
                  <wp:extent cx="5591175" cy="30956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954A75" w14:textId="0DE45B5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The sum is 132, representing 107 papers, i.e. 25 papers are duplicates (reported output from more than one faculty). With the</w:t>
            </w:r>
            <w:r w:rsidR="00B76222">
              <w:rPr>
                <w:rFonts w:ascii="Times New Roman" w:hAnsi="Times New Roman"/>
                <w:bCs/>
                <w:sz w:val="24"/>
                <w:szCs w:val="24"/>
                <w:lang w:val="en-GB"/>
              </w:rPr>
              <w:t>se</w:t>
            </w:r>
            <w:r w:rsidRPr="009059BA">
              <w:rPr>
                <w:rFonts w:ascii="Times New Roman" w:hAnsi="Times New Roman"/>
                <w:bCs/>
                <w:sz w:val="24"/>
                <w:szCs w:val="24"/>
                <w:lang w:val="en-GB"/>
              </w:rPr>
              <w:t xml:space="preserve"> limitations, it seems fair to say that the 1.LF is a CUNI stronghold in Endocrinology &amp; Metabolism, closely followed by 2.LF, 3.LF, and LFHK. In contrast, FaFHK and LFPI are notably weaker. If, however, the five faculties were merged one might hope for a synergistic effect on the research in this field. If this should be successful, it would require not just an organisational merge</w:t>
            </w:r>
            <w:r w:rsidR="00B76222">
              <w:rPr>
                <w:rFonts w:ascii="Times New Roman" w:hAnsi="Times New Roman"/>
                <w:bCs/>
                <w:sz w:val="24"/>
                <w:szCs w:val="24"/>
                <w:lang w:val="en-GB"/>
              </w:rPr>
              <w:t>r</w:t>
            </w:r>
            <w:r w:rsidRPr="009059BA">
              <w:rPr>
                <w:rFonts w:ascii="Times New Roman" w:hAnsi="Times New Roman"/>
                <w:bCs/>
                <w:sz w:val="24"/>
                <w:szCs w:val="24"/>
                <w:lang w:val="en-GB"/>
              </w:rPr>
              <w:t>, but also a physical merge</w:t>
            </w:r>
            <w:r w:rsidR="00B76222">
              <w:rPr>
                <w:rFonts w:ascii="Times New Roman" w:hAnsi="Times New Roman"/>
                <w:bCs/>
                <w:sz w:val="24"/>
                <w:szCs w:val="24"/>
                <w:lang w:val="en-GB"/>
              </w:rPr>
              <w:t>r</w:t>
            </w:r>
            <w:r w:rsidRPr="009059BA">
              <w:rPr>
                <w:rFonts w:ascii="Times New Roman" w:hAnsi="Times New Roman"/>
                <w:bCs/>
                <w:sz w:val="24"/>
                <w:szCs w:val="24"/>
                <w:lang w:val="en-GB"/>
              </w:rPr>
              <w:t>. Another, less attractive, approach could be to merge sub-disciplines in one or two faculties.</w:t>
            </w:r>
          </w:p>
          <w:p w14:paraId="515634C2"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Of the 287 unique papers, 39% had </w:t>
            </w:r>
            <w:r w:rsidRPr="009059BA">
              <w:rPr>
                <w:rFonts w:ascii="Times New Roman" w:hAnsi="Times New Roman"/>
                <w:bCs/>
                <w:sz w:val="24"/>
                <w:szCs w:val="24"/>
                <w:u w:val="single"/>
                <w:lang w:val="en-GB"/>
              </w:rPr>
              <w:t>neither</w:t>
            </w:r>
            <w:r w:rsidRPr="009059BA">
              <w:rPr>
                <w:rFonts w:ascii="Times New Roman" w:hAnsi="Times New Roman"/>
                <w:bCs/>
                <w:sz w:val="24"/>
                <w:szCs w:val="24"/>
                <w:lang w:val="en-GB"/>
              </w:rPr>
              <w:t xml:space="preserve"> first nor last CUNI author, 23% had </w:t>
            </w:r>
            <w:r w:rsidRPr="009059BA">
              <w:rPr>
                <w:rFonts w:ascii="Times New Roman" w:hAnsi="Times New Roman"/>
                <w:bCs/>
                <w:sz w:val="24"/>
                <w:szCs w:val="24"/>
                <w:u w:val="single"/>
                <w:lang w:val="en-GB"/>
              </w:rPr>
              <w:t>either</w:t>
            </w:r>
            <w:r w:rsidRPr="009059BA">
              <w:rPr>
                <w:rFonts w:ascii="Times New Roman" w:hAnsi="Times New Roman"/>
                <w:bCs/>
                <w:sz w:val="24"/>
                <w:szCs w:val="24"/>
                <w:lang w:val="en-GB"/>
              </w:rPr>
              <w:t xml:space="preserve"> first or last CUNI author, and 38% has </w:t>
            </w:r>
            <w:r w:rsidRPr="009059BA">
              <w:rPr>
                <w:rFonts w:ascii="Times New Roman" w:hAnsi="Times New Roman"/>
                <w:bCs/>
                <w:sz w:val="24"/>
                <w:szCs w:val="24"/>
                <w:u w:val="single"/>
                <w:lang w:val="en-GB"/>
              </w:rPr>
              <w:t>both</w:t>
            </w:r>
            <w:r w:rsidRPr="009059BA">
              <w:rPr>
                <w:rFonts w:ascii="Times New Roman" w:hAnsi="Times New Roman"/>
                <w:bCs/>
                <w:sz w:val="24"/>
                <w:szCs w:val="24"/>
                <w:lang w:val="en-GB"/>
              </w:rPr>
              <w:t xml:space="preserve"> first and last CUNI author. Seen from the CUNI university perspective, it is encouraging that more than a third of the research output is firmly attached in the university (i.e. both first and last CUNI authorship). On the other hand, it is clear (figure above) that the majority of this research is published in lower ranking journals.</w:t>
            </w:r>
          </w:p>
          <w:p w14:paraId="7332D08A" w14:textId="5E4EE609"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Reducing the dataset to papers</w:t>
            </w:r>
            <w:r w:rsidR="006452C6">
              <w:rPr>
                <w:rFonts w:ascii="Times New Roman" w:hAnsi="Times New Roman"/>
                <w:bCs/>
                <w:sz w:val="24"/>
                <w:szCs w:val="24"/>
                <w:lang w:val="en-GB"/>
              </w:rPr>
              <w:t xml:space="preserve"> with the </w:t>
            </w:r>
            <w:r w:rsidRPr="009059BA">
              <w:rPr>
                <w:rFonts w:ascii="Times New Roman" w:hAnsi="Times New Roman"/>
                <w:bCs/>
                <w:sz w:val="24"/>
                <w:szCs w:val="24"/>
                <w:lang w:val="en-GB"/>
              </w:rPr>
              <w:t>last author from CUNI</w:t>
            </w:r>
            <w:r w:rsidR="0086249B">
              <w:rPr>
                <w:rFonts w:ascii="Times New Roman" w:hAnsi="Times New Roman"/>
                <w:bCs/>
                <w:sz w:val="24"/>
                <w:szCs w:val="24"/>
                <w:lang w:val="en-GB"/>
              </w:rPr>
              <w:t xml:space="preserve"> provides</w:t>
            </w:r>
            <w:r w:rsidRPr="009059BA">
              <w:rPr>
                <w:rFonts w:ascii="Times New Roman" w:hAnsi="Times New Roman"/>
                <w:bCs/>
                <w:sz w:val="24"/>
                <w:szCs w:val="24"/>
                <w:lang w:val="en-GB"/>
              </w:rPr>
              <w:t xml:space="preserve"> some information about the productivity per research groups. However, this is </w:t>
            </w:r>
            <w:r w:rsidR="00B76222">
              <w:rPr>
                <w:rFonts w:ascii="Times New Roman" w:hAnsi="Times New Roman"/>
                <w:bCs/>
                <w:sz w:val="24"/>
                <w:szCs w:val="24"/>
                <w:lang w:val="en-GB"/>
              </w:rPr>
              <w:t xml:space="preserve"> somewhat of a superficial</w:t>
            </w:r>
            <w:r w:rsidRPr="009059BA">
              <w:rPr>
                <w:rFonts w:ascii="Times New Roman" w:hAnsi="Times New Roman"/>
                <w:bCs/>
                <w:sz w:val="24"/>
                <w:szCs w:val="24"/>
                <w:lang w:val="en-GB"/>
              </w:rPr>
              <w:t xml:space="preserve">approach because last authorships may change within the same research group. Nevertheless, </w:t>
            </w:r>
            <w:r w:rsidR="00B76222">
              <w:rPr>
                <w:rFonts w:ascii="Times New Roman" w:hAnsi="Times New Roman"/>
                <w:bCs/>
                <w:sz w:val="24"/>
                <w:szCs w:val="24"/>
                <w:lang w:val="en-GB"/>
              </w:rPr>
              <w:t>the</w:t>
            </w:r>
            <w:r w:rsidR="0086249B">
              <w:rPr>
                <w:rFonts w:ascii="Times New Roman" w:hAnsi="Times New Roman"/>
                <w:bCs/>
                <w:sz w:val="24"/>
                <w:szCs w:val="24"/>
                <w:lang w:val="en-GB"/>
              </w:rPr>
              <w:t>re are 165 papers in this group</w:t>
            </w:r>
            <w:r w:rsidRPr="009059BA">
              <w:rPr>
                <w:rFonts w:ascii="Times New Roman" w:hAnsi="Times New Roman"/>
                <w:bCs/>
                <w:sz w:val="24"/>
                <w:szCs w:val="24"/>
                <w:lang w:val="en-GB"/>
              </w:rPr>
              <w:t xml:space="preserve">, of which 32 are duplicates (listed as output from two different faculties), leaving 133 papers to consider in this analysis. </w:t>
            </w:r>
          </w:p>
          <w:p w14:paraId="7F7724B5" w14:textId="0FF60C15"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Thirty-nine </w:t>
            </w:r>
            <w:r w:rsidR="0086249B">
              <w:rPr>
                <w:rFonts w:ascii="Times New Roman" w:hAnsi="Times New Roman"/>
                <w:bCs/>
                <w:sz w:val="24"/>
                <w:szCs w:val="24"/>
                <w:lang w:val="en-GB"/>
              </w:rPr>
              <w:t xml:space="preserve">individuals were </w:t>
            </w:r>
            <w:r w:rsidRPr="009059BA">
              <w:rPr>
                <w:rFonts w:ascii="Times New Roman" w:hAnsi="Times New Roman"/>
                <w:bCs/>
                <w:sz w:val="24"/>
                <w:szCs w:val="24"/>
                <w:lang w:val="en-GB"/>
              </w:rPr>
              <w:t xml:space="preserve">last authors </w:t>
            </w:r>
            <w:r w:rsidR="0086249B">
              <w:rPr>
                <w:rFonts w:ascii="Times New Roman" w:hAnsi="Times New Roman"/>
                <w:bCs/>
                <w:sz w:val="24"/>
                <w:szCs w:val="24"/>
                <w:lang w:val="en-GB"/>
              </w:rPr>
              <w:t>on</w:t>
            </w:r>
            <w:r w:rsidR="0086249B" w:rsidRPr="009059BA">
              <w:rPr>
                <w:rFonts w:ascii="Times New Roman" w:hAnsi="Times New Roman"/>
                <w:bCs/>
                <w:sz w:val="24"/>
                <w:szCs w:val="24"/>
                <w:lang w:val="en-GB"/>
              </w:rPr>
              <w:t xml:space="preserve"> </w:t>
            </w:r>
            <w:r w:rsidRPr="009059BA">
              <w:rPr>
                <w:rFonts w:ascii="Times New Roman" w:hAnsi="Times New Roman"/>
                <w:bCs/>
                <w:sz w:val="24"/>
                <w:szCs w:val="24"/>
                <w:lang w:val="en-GB"/>
              </w:rPr>
              <w:t xml:space="preserve">one paper and twelve </w:t>
            </w:r>
            <w:r w:rsidR="0086249B">
              <w:rPr>
                <w:rFonts w:ascii="Times New Roman" w:hAnsi="Times New Roman"/>
                <w:bCs/>
                <w:sz w:val="24"/>
                <w:szCs w:val="24"/>
                <w:lang w:val="en-GB"/>
              </w:rPr>
              <w:t xml:space="preserve">were last </w:t>
            </w:r>
            <w:r w:rsidRPr="009059BA">
              <w:rPr>
                <w:rFonts w:ascii="Times New Roman" w:hAnsi="Times New Roman"/>
                <w:bCs/>
                <w:sz w:val="24"/>
                <w:szCs w:val="24"/>
                <w:lang w:val="en-GB"/>
              </w:rPr>
              <w:t xml:space="preserve">authors </w:t>
            </w:r>
            <w:r w:rsidR="0086249B">
              <w:rPr>
                <w:rFonts w:ascii="Times New Roman" w:hAnsi="Times New Roman"/>
                <w:bCs/>
                <w:sz w:val="24"/>
                <w:szCs w:val="24"/>
                <w:lang w:val="en-GB"/>
              </w:rPr>
              <w:t>on two papers</w:t>
            </w:r>
            <w:r w:rsidRPr="009059BA">
              <w:rPr>
                <w:rFonts w:ascii="Times New Roman" w:hAnsi="Times New Roman"/>
                <w:bCs/>
                <w:sz w:val="24"/>
                <w:szCs w:val="24"/>
                <w:lang w:val="en-GB"/>
              </w:rPr>
              <w:t xml:space="preserve">. </w:t>
            </w:r>
            <w:r w:rsidR="0086249B">
              <w:rPr>
                <w:rFonts w:ascii="Times New Roman" w:hAnsi="Times New Roman"/>
                <w:bCs/>
                <w:sz w:val="24"/>
                <w:szCs w:val="24"/>
                <w:lang w:val="en-GB"/>
              </w:rPr>
              <w:t xml:space="preserve">Of individuals who are last authors on more than 3 papers, </w:t>
            </w:r>
            <w:r w:rsidRPr="009059BA">
              <w:rPr>
                <w:rFonts w:ascii="Times New Roman" w:hAnsi="Times New Roman"/>
                <w:bCs/>
                <w:sz w:val="24"/>
                <w:szCs w:val="24"/>
                <w:lang w:val="en-GB"/>
              </w:rPr>
              <w:t xml:space="preserve"> the distribution (see Fig. 2) is dominated by one author, Haluzik, M, (1.LF) followed by Sobotka, L. (LFHK). Their research areas</w:t>
            </w:r>
            <w:r w:rsidR="0086249B">
              <w:rPr>
                <w:rFonts w:ascii="Times New Roman" w:hAnsi="Times New Roman"/>
                <w:bCs/>
                <w:sz w:val="24"/>
                <w:szCs w:val="24"/>
                <w:lang w:val="en-GB"/>
              </w:rPr>
              <w:t>s</w:t>
            </w:r>
            <w:r w:rsidRPr="009059BA">
              <w:rPr>
                <w:rFonts w:ascii="Times New Roman" w:hAnsi="Times New Roman"/>
                <w:bCs/>
                <w:sz w:val="24"/>
                <w:szCs w:val="24"/>
                <w:lang w:val="en-GB"/>
              </w:rPr>
              <w:t xml:space="preserve"> are in particular inflammation, dyslipidaemia, obesity, nutrition, diabetes, and adipose tissue biology. </w:t>
            </w:r>
          </w:p>
          <w:p w14:paraId="18C82739" w14:textId="77777777" w:rsidR="00EF6A61" w:rsidRPr="009059BA" w:rsidRDefault="00EF6A61" w:rsidP="003672BA">
            <w:pPr>
              <w:spacing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Fig.2</w:t>
            </w:r>
          </w:p>
          <w:p w14:paraId="519565BC"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noProof/>
                <w:sz w:val="24"/>
                <w:szCs w:val="24"/>
                <w:lang w:eastAsia="cs-CZ"/>
              </w:rPr>
              <w:lastRenderedPageBreak/>
              <w:drawing>
                <wp:inline distT="0" distB="0" distL="0" distR="0" wp14:anchorId="1C5BF342" wp14:editId="0E8FE127">
                  <wp:extent cx="6120130" cy="3980180"/>
                  <wp:effectExtent l="0" t="0" r="13970"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6CC7B1" w14:textId="77777777" w:rsidR="00EF6A61" w:rsidRPr="009059BA" w:rsidRDefault="00EF6A61" w:rsidP="003672BA">
            <w:pPr>
              <w:spacing w:after="0" w:line="360" w:lineRule="auto"/>
              <w:ind w:right="93"/>
              <w:jc w:val="both"/>
              <w:rPr>
                <w:rFonts w:ascii="Times New Roman" w:hAnsi="Times New Roman"/>
                <w:bCs/>
                <w:sz w:val="24"/>
                <w:szCs w:val="24"/>
                <w:lang w:val="en-GB"/>
              </w:rPr>
            </w:pPr>
          </w:p>
          <w:p w14:paraId="4735CECE" w14:textId="1DBD9626" w:rsidR="00EF6A61" w:rsidRPr="009059BA" w:rsidRDefault="00EF6A61" w:rsidP="003672BA">
            <w:pPr>
              <w:spacing w:after="0"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For last authors reporting less than three papers, the majority </w:t>
            </w:r>
            <w:r w:rsidR="0086249B">
              <w:rPr>
                <w:rFonts w:ascii="Times New Roman" w:hAnsi="Times New Roman"/>
                <w:bCs/>
                <w:sz w:val="24"/>
                <w:szCs w:val="24"/>
                <w:lang w:val="en-GB"/>
              </w:rPr>
              <w:t>are</w:t>
            </w:r>
            <w:r w:rsidRPr="009059BA">
              <w:rPr>
                <w:rFonts w:ascii="Times New Roman" w:hAnsi="Times New Roman"/>
                <w:bCs/>
                <w:sz w:val="24"/>
                <w:szCs w:val="24"/>
                <w:lang w:val="en-GB"/>
              </w:rPr>
              <w:t xml:space="preserve"> published in Q4 (50%), Q3 (14%), Q2 (18%), but notably also Q1 (15%) and D1 (3%) are well represented. Stratification of the entire pool of 133 last authorships on “ranking” of journals is shown in Fig. 3. </w:t>
            </w:r>
          </w:p>
          <w:p w14:paraId="764B9843" w14:textId="77777777" w:rsidR="00EF6A61" w:rsidRPr="009059BA" w:rsidRDefault="00EF6A61" w:rsidP="003672BA">
            <w:pPr>
              <w:spacing w:after="0" w:line="360" w:lineRule="auto"/>
              <w:ind w:right="93"/>
              <w:jc w:val="both"/>
              <w:rPr>
                <w:rFonts w:ascii="Times New Roman" w:hAnsi="Times New Roman"/>
                <w:bCs/>
                <w:sz w:val="24"/>
                <w:szCs w:val="24"/>
                <w:lang w:val="en-GB"/>
              </w:rPr>
            </w:pPr>
          </w:p>
          <w:p w14:paraId="4D1D43F7" w14:textId="77777777" w:rsidR="00EF6A61" w:rsidRPr="009059BA" w:rsidRDefault="00EF6A61" w:rsidP="003672BA">
            <w:pPr>
              <w:spacing w:after="0"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 3</w:t>
            </w:r>
          </w:p>
          <w:p w14:paraId="76C53DDC" w14:textId="77777777" w:rsidR="00EF6A61" w:rsidRPr="009059BA" w:rsidRDefault="00EF6A61" w:rsidP="003672BA">
            <w:pPr>
              <w:spacing w:after="0"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 xml:space="preserve"> </w:t>
            </w:r>
            <w:r w:rsidRPr="009059BA">
              <w:rPr>
                <w:rFonts w:ascii="Times New Roman" w:hAnsi="Times New Roman"/>
                <w:noProof/>
                <w:sz w:val="24"/>
                <w:szCs w:val="24"/>
                <w:lang w:eastAsia="cs-CZ"/>
              </w:rPr>
              <w:drawing>
                <wp:inline distT="0" distB="0" distL="0" distR="0" wp14:anchorId="40BD5528" wp14:editId="1764F00B">
                  <wp:extent cx="5647765" cy="3926541"/>
                  <wp:effectExtent l="0" t="0" r="16510" b="361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E306AE"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Thus, it is not evident that authors reporting less than three papers are publishing particularly in lower ranking journals. However, there a tendency to more papers in Q4, and a little less in the medium Q2, among last authors reporting less than three papers. This may have explanations, for example that these authors are early career researchers, but information about this was not provided to the present reviewer.</w:t>
            </w:r>
          </w:p>
          <w:p w14:paraId="2B83E81A" w14:textId="77777777" w:rsidR="00EF6A61" w:rsidRPr="009059BA" w:rsidRDefault="00EF6A61" w:rsidP="003672BA">
            <w:pPr>
              <w:spacing w:after="160" w:line="259" w:lineRule="auto"/>
              <w:ind w:right="93"/>
              <w:rPr>
                <w:rFonts w:ascii="Times New Roman" w:hAnsi="Times New Roman"/>
                <w:bCs/>
                <w:sz w:val="24"/>
                <w:szCs w:val="24"/>
                <w:lang w:val="en-GB"/>
              </w:rPr>
            </w:pPr>
            <w:r w:rsidRPr="009059BA">
              <w:rPr>
                <w:rFonts w:ascii="Times New Roman" w:hAnsi="Times New Roman"/>
                <w:bCs/>
                <w:sz w:val="24"/>
                <w:szCs w:val="24"/>
                <w:lang w:val="en-GB"/>
              </w:rPr>
              <w:br w:type="page"/>
            </w:r>
          </w:p>
          <w:p w14:paraId="7E6BEB55" w14:textId="2964018F"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 xml:space="preserve">The data also demonstrate that there is substantial collaborative research with other national and international (the data does not allow for a distinction between the two) research institutions. Thus, out of the total number of reported papers (n=287), 111 (39%) have CUNI co-authors who are neither first nor last author. By inspecting of the distribution according to journal ranking (i.e. comparing Fig. 1, 3 and 4), it is seen that high impact journals (D1 and Q1) are more prevalent, at the expense of lower ranking (Q3 and Q4) journals.  </w:t>
            </w:r>
          </w:p>
          <w:p w14:paraId="0D301D6F" w14:textId="77777777" w:rsidR="00EF6A61" w:rsidRPr="009059BA" w:rsidRDefault="00EF6A61" w:rsidP="003672BA">
            <w:pPr>
              <w:spacing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Fig. 4</w:t>
            </w:r>
          </w:p>
          <w:p w14:paraId="09E5E10D"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noProof/>
                <w:sz w:val="24"/>
                <w:szCs w:val="24"/>
                <w:lang w:eastAsia="cs-CZ"/>
              </w:rPr>
              <w:lastRenderedPageBreak/>
              <w:drawing>
                <wp:inline distT="0" distB="0" distL="0" distR="0" wp14:anchorId="451E7B2A" wp14:editId="6705ECE9">
                  <wp:extent cx="5647765" cy="3971364"/>
                  <wp:effectExtent l="0" t="0" r="16510"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F76C44" w14:textId="77777777"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Thus, one may conclude that CUNI researchers largely benefit from their collaboration with other research institutions, and that research originating from CUNI (Fig. 1 and 3) does not quite match the level (if journal ranking can be taken as an indicator for that) that is achieved in non-CUNI research collaborations. </w:t>
            </w:r>
          </w:p>
          <w:p w14:paraId="79013D8C" w14:textId="77777777" w:rsidR="00EF6A61" w:rsidRPr="009059BA" w:rsidRDefault="00EF6A61" w:rsidP="003672BA">
            <w:pPr>
              <w:spacing w:line="360" w:lineRule="auto"/>
              <w:ind w:right="93"/>
              <w:jc w:val="both"/>
              <w:rPr>
                <w:rFonts w:ascii="Times New Roman" w:hAnsi="Times New Roman"/>
                <w:bCs/>
                <w:sz w:val="24"/>
                <w:szCs w:val="24"/>
                <w:u w:val="single"/>
                <w:lang w:val="en-GB"/>
              </w:rPr>
            </w:pPr>
            <w:r w:rsidRPr="009059BA">
              <w:rPr>
                <w:rFonts w:ascii="Times New Roman" w:hAnsi="Times New Roman"/>
                <w:bCs/>
                <w:sz w:val="24"/>
                <w:szCs w:val="24"/>
                <w:u w:val="single"/>
                <w:lang w:val="en-GB"/>
              </w:rPr>
              <w:t>Overall assessment.</w:t>
            </w:r>
          </w:p>
          <w:p w14:paraId="3FA323B0" w14:textId="7C6740E6"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lastRenderedPageBreak/>
              <w:t xml:space="preserve">Based upon the material provided, my impression is that a few very productive groups dominate CUNI research in the field of Endocrinology &amp; Metabolism. </w:t>
            </w:r>
            <w:r w:rsidR="00AE5276">
              <w:rPr>
                <w:rFonts w:ascii="Times New Roman" w:hAnsi="Times New Roman"/>
                <w:bCs/>
                <w:sz w:val="24"/>
                <w:szCs w:val="24"/>
                <w:lang w:val="en-GB"/>
              </w:rPr>
              <w:t>There appears to be high quality research coming from selected areas and groups, but there is also high quality research that has been produced by other facult</w:t>
            </w:r>
            <w:r w:rsidR="003D37A5">
              <w:rPr>
                <w:rFonts w:ascii="Times New Roman" w:hAnsi="Times New Roman"/>
                <w:bCs/>
                <w:sz w:val="24"/>
                <w:szCs w:val="24"/>
                <w:lang w:val="en-GB"/>
              </w:rPr>
              <w:t>ies</w:t>
            </w:r>
            <w:r w:rsidR="00AE5276">
              <w:rPr>
                <w:rFonts w:ascii="Times New Roman" w:hAnsi="Times New Roman"/>
                <w:bCs/>
                <w:sz w:val="24"/>
                <w:szCs w:val="24"/>
                <w:lang w:val="en-GB"/>
              </w:rPr>
              <w:t>. I</w:t>
            </w:r>
            <w:r w:rsidRPr="009059BA">
              <w:rPr>
                <w:rFonts w:ascii="Times New Roman" w:hAnsi="Times New Roman"/>
                <w:bCs/>
                <w:sz w:val="24"/>
                <w:szCs w:val="24"/>
                <w:lang w:val="en-GB"/>
              </w:rPr>
              <w:t xml:space="preserve">t is clear that high quality research is accomplished, not the least due to collaborative efforts with other institutions.  </w:t>
            </w:r>
          </w:p>
          <w:p w14:paraId="709CEC47" w14:textId="2031A09C" w:rsidR="00EF6A61" w:rsidRPr="009059BA" w:rsidRDefault="00EF6A61" w:rsidP="003672BA">
            <w:pPr>
              <w:spacing w:line="360" w:lineRule="auto"/>
              <w:ind w:right="93"/>
              <w:jc w:val="both"/>
              <w:rPr>
                <w:rFonts w:ascii="Times New Roman" w:hAnsi="Times New Roman"/>
                <w:bCs/>
                <w:sz w:val="24"/>
                <w:szCs w:val="24"/>
                <w:lang w:val="en-GB"/>
              </w:rPr>
            </w:pPr>
            <w:r w:rsidRPr="009059BA">
              <w:rPr>
                <w:rFonts w:ascii="Times New Roman" w:hAnsi="Times New Roman"/>
                <w:bCs/>
                <w:sz w:val="24"/>
                <w:szCs w:val="24"/>
                <w:lang w:val="en-GB"/>
              </w:rPr>
              <w:t xml:space="preserve">If the Endocrinology &amp; Metabolism field at CUNI, irrespective of the five faculties individual contributions, should reach higher impact, a re-structure and perhaps merging of faculties (or research groups) </w:t>
            </w:r>
            <w:r w:rsidR="003D37A5">
              <w:rPr>
                <w:rFonts w:ascii="Times New Roman" w:hAnsi="Times New Roman"/>
                <w:bCs/>
                <w:sz w:val="24"/>
                <w:szCs w:val="24"/>
                <w:lang w:val="en-GB"/>
              </w:rPr>
              <w:t>would</w:t>
            </w:r>
            <w:r w:rsidRPr="009059BA">
              <w:rPr>
                <w:rFonts w:ascii="Times New Roman" w:hAnsi="Times New Roman"/>
                <w:bCs/>
                <w:sz w:val="24"/>
                <w:szCs w:val="24"/>
                <w:lang w:val="en-GB"/>
              </w:rPr>
              <w:t xml:space="preserve"> be necessary.</w:t>
            </w:r>
          </w:p>
          <w:p w14:paraId="4F215BB9" w14:textId="10EB7B27" w:rsidR="00EF6A61" w:rsidRPr="009059BA" w:rsidRDefault="003D37A5" w:rsidP="003672BA">
            <w:pPr>
              <w:spacing w:line="360" w:lineRule="auto"/>
              <w:ind w:right="93"/>
              <w:jc w:val="both"/>
              <w:rPr>
                <w:rFonts w:ascii="Times New Roman" w:hAnsi="Times New Roman"/>
                <w:bCs/>
                <w:sz w:val="24"/>
                <w:szCs w:val="24"/>
                <w:lang w:val="en-GB"/>
              </w:rPr>
            </w:pPr>
            <w:r>
              <w:rPr>
                <w:rFonts w:ascii="Times New Roman" w:eastAsia="Times New Roman" w:hAnsi="Times New Roman"/>
                <w:color w:val="000000"/>
                <w:sz w:val="24"/>
                <w:szCs w:val="24"/>
                <w:lang w:val="en-GB"/>
              </w:rPr>
              <w:t>The figure below shows the number of paper per author for the observation period (2014-2018) based upon Web of Science data extraction in comparison withg benchmark universities. It’s clear that CUNI is in the lower end. In comparison with the FORD: Medical and Health sciences paper per author graph (page 4), the production in Endocrinology &amp; Metabolism is close to the overall average for the entire CUNI university. Disregarding the journal ranking provides a smimilar picture of papers per author: Vienna (4.5) &gt; Milan (4.0) &gt; Heidelberg (3.8) &gt; Copenhagen (3.6) = Leuven (3.6) &gt; CUNI (2.8) &gt; Warsaw (1.5).</w:t>
            </w:r>
            <w:r w:rsidRPr="00AC72BF" w:rsidDel="009329D0">
              <w:rPr>
                <w:rFonts w:ascii="Times New Roman" w:eastAsia="Times New Roman" w:hAnsi="Times New Roman"/>
                <w:color w:val="000000"/>
                <w:sz w:val="24"/>
                <w:szCs w:val="24"/>
                <w:lang w:val="en-GB"/>
              </w:rPr>
              <w:t xml:space="preserve"> </w:t>
            </w:r>
            <w:r>
              <w:rPr>
                <w:rFonts w:ascii="Times New Roman" w:eastAsia="Times New Roman" w:hAnsi="Times New Roman"/>
                <w:color w:val="000000"/>
                <w:sz w:val="24"/>
                <w:szCs w:val="24"/>
                <w:lang w:val="en-GB"/>
              </w:rPr>
              <w:t xml:space="preserve"> Thus, based upon these data, there is room for improvement in the research output in Endocrinology </w:t>
            </w:r>
            <w:r w:rsidR="00D2611E">
              <w:rPr>
                <w:rFonts w:ascii="Times New Roman" w:eastAsia="Times New Roman" w:hAnsi="Times New Roman"/>
                <w:color w:val="000000"/>
                <w:sz w:val="24"/>
                <w:szCs w:val="24"/>
                <w:lang w:val="en-GB"/>
              </w:rPr>
              <w:t>&amp; Metabolism at CUNI</w:t>
            </w:r>
          </w:p>
          <w:p w14:paraId="4DC8B2D4" w14:textId="77777777" w:rsidR="00EF6A61" w:rsidRPr="009059BA" w:rsidRDefault="00EF6A61" w:rsidP="003672BA">
            <w:pPr>
              <w:pStyle w:val="Odstavecseseznamem"/>
              <w:spacing w:after="0" w:line="360" w:lineRule="auto"/>
              <w:ind w:left="360" w:right="93"/>
              <w:jc w:val="both"/>
              <w:rPr>
                <w:rFonts w:ascii="Times New Roman" w:hAnsi="Times New Roman"/>
                <w:bCs/>
                <w:sz w:val="24"/>
                <w:szCs w:val="24"/>
                <w:lang w:val="en-GB"/>
              </w:rPr>
            </w:pPr>
          </w:p>
          <w:p w14:paraId="377B1E3B" w14:textId="2F191962" w:rsidR="00EF6A61" w:rsidRPr="00AC72BF" w:rsidRDefault="00EF6A6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09437EE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D68F421"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E6A925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97E0E1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2B72852C"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24769845"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74BC6395"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7A45472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4EC6D4DE"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3CE129AE"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508DAAB"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B99F85"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F29A381"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27C2C990"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636BC5D2"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3890E527"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p w14:paraId="5996BAAD" w14:textId="7EBE5A6E" w:rsidR="00011ABA" w:rsidRPr="00AC72BF" w:rsidRDefault="00011ABA"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64EF3681" wp14:editId="480ADA6A">
                  <wp:extent cx="6400800" cy="41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c>
        <w:tc>
          <w:tcPr>
            <w:tcW w:w="864" w:type="dxa"/>
            <w:tcBorders>
              <w:top w:val="nil"/>
              <w:left w:val="nil"/>
              <w:bottom w:val="nil"/>
              <w:right w:val="nil"/>
            </w:tcBorders>
            <w:shd w:val="clear" w:color="auto" w:fill="auto"/>
            <w:noWrap/>
            <w:vAlign w:val="bottom"/>
            <w:hideMark/>
          </w:tcPr>
          <w:p w14:paraId="068464E7"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201FB488"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B5D8B3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EB38817"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878A79B"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E84CF4" w:rsidRPr="00AC72BF" w14:paraId="1CC4A1E0" w14:textId="77777777" w:rsidTr="00447D4E">
        <w:trPr>
          <w:gridAfter w:val="7"/>
          <w:wAfter w:w="8020" w:type="dxa"/>
          <w:trHeight w:val="300"/>
        </w:trPr>
        <w:tc>
          <w:tcPr>
            <w:tcW w:w="10749" w:type="dxa"/>
            <w:gridSpan w:val="4"/>
            <w:tcBorders>
              <w:top w:val="nil"/>
              <w:left w:val="nil"/>
              <w:bottom w:val="nil"/>
              <w:right w:val="nil"/>
            </w:tcBorders>
            <w:shd w:val="clear" w:color="auto" w:fill="auto"/>
            <w:noWrap/>
            <w:vAlign w:val="bottom"/>
            <w:hideMark/>
          </w:tcPr>
          <w:p w14:paraId="003A7E82"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13FC58" w14:textId="77777777" w:rsidR="00E84CF4" w:rsidRPr="00AC72BF" w:rsidRDefault="00E84CF4"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3B848F02"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3E82D170" w14:textId="58B21C1C" w:rsidR="00011ABA" w:rsidRPr="00AC72BF" w:rsidRDefault="00011ABA" w:rsidP="003672BA">
            <w:pPr>
              <w:spacing w:after="0" w:line="240" w:lineRule="auto"/>
              <w:ind w:right="93"/>
              <w:rPr>
                <w:rFonts w:ascii="Times New Roman" w:eastAsia="Times New Roman" w:hAnsi="Times New Roman"/>
                <w:b/>
                <w:color w:val="000000"/>
                <w:sz w:val="24"/>
                <w:szCs w:val="24"/>
                <w:lang w:val="en-GB"/>
              </w:rPr>
            </w:pPr>
          </w:p>
          <w:p w14:paraId="62DC7F08" w14:textId="524E0712" w:rsidR="00011ABA" w:rsidRPr="00AC72BF" w:rsidRDefault="00011ABA" w:rsidP="00D34B56">
            <w:pPr>
              <w:pStyle w:val="Odstavecseseznamem"/>
              <w:spacing w:after="0" w:line="360" w:lineRule="auto"/>
              <w:ind w:left="360" w:right="93"/>
              <w:jc w:val="both"/>
              <w:rPr>
                <w:lang w:val="en-GB"/>
              </w:rPr>
            </w:pPr>
          </w:p>
        </w:tc>
        <w:tc>
          <w:tcPr>
            <w:tcW w:w="864" w:type="dxa"/>
            <w:tcBorders>
              <w:top w:val="nil"/>
              <w:left w:val="nil"/>
              <w:bottom w:val="nil"/>
              <w:right w:val="nil"/>
            </w:tcBorders>
            <w:shd w:val="clear" w:color="auto" w:fill="auto"/>
            <w:noWrap/>
            <w:vAlign w:val="bottom"/>
            <w:hideMark/>
          </w:tcPr>
          <w:p w14:paraId="4002446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3207E05E"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33736A9"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38DA4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1B547A"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523DF5" w:rsidRPr="00AC72BF" w14:paraId="45EB487E" w14:textId="77777777" w:rsidTr="00447D4E">
        <w:trPr>
          <w:gridAfter w:val="9"/>
          <w:wAfter w:w="16135" w:type="dxa"/>
          <w:trHeight w:val="300"/>
        </w:trPr>
        <w:tc>
          <w:tcPr>
            <w:tcW w:w="1312" w:type="dxa"/>
            <w:tcBorders>
              <w:top w:val="nil"/>
              <w:left w:val="nil"/>
              <w:bottom w:val="nil"/>
              <w:right w:val="nil"/>
            </w:tcBorders>
            <w:shd w:val="clear" w:color="auto" w:fill="auto"/>
            <w:noWrap/>
            <w:vAlign w:val="bottom"/>
            <w:hideMark/>
          </w:tcPr>
          <w:p w14:paraId="46016BE4" w14:textId="77777777" w:rsidR="00523DF5" w:rsidRPr="00AC72BF" w:rsidRDefault="00523DF5" w:rsidP="003672BA">
            <w:pPr>
              <w:spacing w:after="0" w:line="240" w:lineRule="auto"/>
              <w:ind w:right="93"/>
              <w:rPr>
                <w:rFonts w:ascii="Times New Roman" w:eastAsia="Times New Roman" w:hAnsi="Times New Roman"/>
                <w:color w:val="000000"/>
                <w:sz w:val="24"/>
                <w:szCs w:val="24"/>
                <w:lang w:val="en-GB"/>
              </w:rPr>
            </w:pPr>
          </w:p>
        </w:tc>
        <w:tc>
          <w:tcPr>
            <w:tcW w:w="1311" w:type="dxa"/>
            <w:tcBorders>
              <w:top w:val="nil"/>
              <w:left w:val="nil"/>
              <w:bottom w:val="nil"/>
              <w:right w:val="nil"/>
            </w:tcBorders>
            <w:shd w:val="clear" w:color="auto" w:fill="auto"/>
            <w:noWrap/>
            <w:vAlign w:val="bottom"/>
            <w:hideMark/>
          </w:tcPr>
          <w:p w14:paraId="3F94DFFF" w14:textId="77777777" w:rsidR="00523DF5" w:rsidRPr="00AC72BF" w:rsidRDefault="00523DF5" w:rsidP="003672BA">
            <w:pPr>
              <w:spacing w:after="0" w:line="240" w:lineRule="auto"/>
              <w:ind w:right="93"/>
              <w:rPr>
                <w:rFonts w:ascii="Times New Roman" w:eastAsia="Times New Roman" w:hAnsi="Times New Roman"/>
                <w:color w:val="000000"/>
                <w:sz w:val="24"/>
                <w:szCs w:val="24"/>
                <w:lang w:val="en-GB"/>
              </w:rPr>
            </w:pPr>
          </w:p>
        </w:tc>
        <w:tc>
          <w:tcPr>
            <w:tcW w:w="1311" w:type="dxa"/>
            <w:tcBorders>
              <w:top w:val="nil"/>
              <w:left w:val="nil"/>
              <w:bottom w:val="nil"/>
              <w:right w:val="nil"/>
            </w:tcBorders>
            <w:shd w:val="clear" w:color="auto" w:fill="auto"/>
            <w:noWrap/>
            <w:vAlign w:val="bottom"/>
            <w:hideMark/>
          </w:tcPr>
          <w:p w14:paraId="4D620F21" w14:textId="77777777" w:rsidR="00523DF5" w:rsidRPr="00AC72BF" w:rsidRDefault="00523DF5" w:rsidP="003672BA">
            <w:pPr>
              <w:spacing w:after="0" w:line="240" w:lineRule="auto"/>
              <w:ind w:right="93"/>
              <w:rPr>
                <w:rFonts w:ascii="Times New Roman" w:eastAsia="Times New Roman" w:hAnsi="Times New Roman"/>
                <w:color w:val="000000"/>
                <w:sz w:val="24"/>
                <w:szCs w:val="24"/>
                <w:lang w:val="en-GB"/>
              </w:rPr>
            </w:pPr>
          </w:p>
        </w:tc>
      </w:tr>
      <w:tr w:rsidR="00011ABA" w:rsidRPr="00AC72BF" w14:paraId="6AE6B60C"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600D77C1" w14:textId="46E140E0"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7FB82178"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55E8EA2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636CF4FF"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65FFD85D"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31C600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29D744B"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D83231C" w14:textId="77777777" w:rsidR="00011ABA" w:rsidRPr="00AC72BF" w:rsidRDefault="00011ABA"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427CD3D1" w14:textId="77777777" w:rsidTr="00447D4E">
        <w:trPr>
          <w:trHeight w:val="300"/>
        </w:trPr>
        <w:tc>
          <w:tcPr>
            <w:tcW w:w="15099" w:type="dxa"/>
            <w:gridSpan w:val="8"/>
            <w:tcBorders>
              <w:top w:val="nil"/>
              <w:left w:val="nil"/>
              <w:bottom w:val="nil"/>
              <w:right w:val="nil"/>
            </w:tcBorders>
            <w:shd w:val="clear" w:color="auto" w:fill="auto"/>
            <w:noWrap/>
            <w:vAlign w:val="bottom"/>
            <w:hideMark/>
          </w:tcPr>
          <w:p w14:paraId="7E79CBDB" w14:textId="77777777" w:rsidR="003F37F1" w:rsidRPr="00AC72BF" w:rsidRDefault="003F37F1" w:rsidP="003672BA">
            <w:pPr>
              <w:spacing w:after="0" w:line="240" w:lineRule="auto"/>
              <w:ind w:right="93"/>
              <w:rPr>
                <w:rFonts w:ascii="Times New Roman" w:eastAsia="Times New Roman" w:hAnsi="Times New Roman"/>
                <w:b/>
                <w:color w:val="000000"/>
                <w:sz w:val="24"/>
                <w:szCs w:val="24"/>
                <w:lang w:val="en-GB"/>
              </w:rPr>
            </w:pPr>
          </w:p>
          <w:p w14:paraId="218E8899" w14:textId="77777777" w:rsidR="003F37F1" w:rsidRDefault="003F37F1" w:rsidP="003672BA">
            <w:pPr>
              <w:spacing w:after="0" w:line="240" w:lineRule="auto"/>
              <w:ind w:right="93"/>
              <w:rPr>
                <w:rFonts w:ascii="Times New Roman" w:eastAsia="Times New Roman" w:hAnsi="Times New Roman"/>
                <w:b/>
                <w:color w:val="000000"/>
                <w:sz w:val="24"/>
                <w:szCs w:val="24"/>
                <w:lang w:val="en-GB"/>
              </w:rPr>
            </w:pPr>
          </w:p>
          <w:p w14:paraId="3857798F" w14:textId="77777777" w:rsidR="00EF4144" w:rsidRPr="00AC72BF" w:rsidRDefault="00EF4144" w:rsidP="003672BA">
            <w:pPr>
              <w:spacing w:after="0" w:line="240" w:lineRule="auto"/>
              <w:ind w:right="93"/>
              <w:rPr>
                <w:rFonts w:ascii="Times New Roman" w:eastAsia="Times New Roman" w:hAnsi="Times New Roman"/>
                <w:b/>
                <w:color w:val="000000"/>
                <w:sz w:val="24"/>
                <w:szCs w:val="24"/>
                <w:lang w:val="en-GB"/>
              </w:rPr>
            </w:pPr>
          </w:p>
          <w:p w14:paraId="741B08C1" w14:textId="77777777" w:rsidR="003F37F1" w:rsidRPr="00AC72BF" w:rsidRDefault="003F37F1" w:rsidP="003672BA">
            <w:pPr>
              <w:spacing w:after="0" w:line="240" w:lineRule="auto"/>
              <w:ind w:right="93"/>
              <w:rPr>
                <w:rFonts w:ascii="Times New Roman" w:eastAsia="Times New Roman" w:hAnsi="Times New Roman"/>
                <w:b/>
                <w:color w:val="000000"/>
                <w:sz w:val="24"/>
                <w:szCs w:val="24"/>
                <w:lang w:val="en-GB"/>
              </w:rPr>
            </w:pPr>
          </w:p>
          <w:p w14:paraId="332DA347" w14:textId="77777777" w:rsidR="003F37F1" w:rsidRDefault="003F37F1" w:rsidP="003672BA">
            <w:pPr>
              <w:spacing w:after="0" w:line="240" w:lineRule="auto"/>
              <w:ind w:right="93"/>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NEPHROLOGY</w:t>
            </w:r>
          </w:p>
          <w:p w14:paraId="78DDA0C6" w14:textId="77777777" w:rsidR="003F37F1" w:rsidRDefault="003F37F1" w:rsidP="003672BA">
            <w:pPr>
              <w:spacing w:after="0" w:line="240" w:lineRule="auto"/>
              <w:ind w:right="93"/>
              <w:rPr>
                <w:rFonts w:ascii="Times New Roman" w:eastAsia="Times New Roman" w:hAnsi="Times New Roman"/>
                <w:b/>
                <w:color w:val="000000"/>
                <w:sz w:val="24"/>
                <w:szCs w:val="24"/>
                <w:lang w:val="en-GB"/>
              </w:rPr>
            </w:pPr>
          </w:p>
          <w:p w14:paraId="696DBECB" w14:textId="77777777" w:rsidR="003F37F1" w:rsidRPr="003F37F1" w:rsidRDefault="003F37F1" w:rsidP="003672BA">
            <w:pPr>
              <w:pStyle w:val="Odstavecseseznamem"/>
              <w:spacing w:line="360" w:lineRule="auto"/>
              <w:ind w:left="360" w:right="93"/>
              <w:jc w:val="both"/>
              <w:rPr>
                <w:rFonts w:ascii="Times New Roman" w:hAnsi="Times New Roman"/>
                <w:bCs/>
                <w:sz w:val="24"/>
                <w:szCs w:val="24"/>
                <w:lang w:val="en-GB"/>
              </w:rPr>
            </w:pPr>
            <w:r w:rsidRPr="003F37F1">
              <w:rPr>
                <w:rFonts w:ascii="Times New Roman" w:hAnsi="Times New Roman"/>
                <w:bCs/>
                <w:sz w:val="24"/>
                <w:szCs w:val="24"/>
                <w:lang w:val="en-GB"/>
              </w:rPr>
              <w:t xml:space="preserve">Nephrology at the Charles University concentrates on highly relevant, clinical research, with limited basic science research.  All areas of nephrology are well covered, with different investigators specializing in research in pediatric nephrology, glomerular disease, hemodialysis, transplantation, and acute kidney injury.  By inspecting the top 10% of papers in nephrology, there are a total of 18 papers, with 14 from 1.LF, 1 from 2.LF, 2 from 3.LF, and 2 from LFPI.  Dr. Vladimir Tesar is a key faculty contributor from 1.LF, and he contributes 13 of the 18 papers.  He is an accomplished clinical trialist in nephrology with over 400 publications, many in high quality journals.   Dr. Ivan Rychlik at 3.lf is also a consistent contributor, with 328 papers.  He has also participated in numerous clinical trials, often with Dr. Tesar. Dr. Tomas Seeman from 2.lf has a number of publications in pediatric nephrology, including on hypertension in childhood and on pediatric disorders. There is limited basic science research.  Maintaining basic science research is often at the expense of clinical research.  In terms of publications, the Charles University is highly competitive internationally, with 118 top-tier manuscripts vs. 185 in Heidelberg, 139 in Milan, and 104 in Copenhagen, 93 Leuven, and 11 in Vienna.  </w:t>
            </w:r>
          </w:p>
          <w:p w14:paraId="323D5D1F" w14:textId="5F98C238" w:rsidR="003F37F1" w:rsidRPr="003F37F1" w:rsidRDefault="003F37F1" w:rsidP="003672BA">
            <w:pPr>
              <w:pStyle w:val="Odstavecseseznamem"/>
              <w:spacing w:line="360" w:lineRule="auto"/>
              <w:ind w:left="360" w:right="93"/>
              <w:jc w:val="both"/>
              <w:rPr>
                <w:rFonts w:ascii="Times New Roman" w:hAnsi="Times New Roman"/>
                <w:bCs/>
                <w:sz w:val="24"/>
                <w:szCs w:val="24"/>
                <w:lang w:val="en-GB"/>
              </w:rPr>
            </w:pPr>
            <w:r w:rsidRPr="003F37F1">
              <w:rPr>
                <w:rFonts w:ascii="Times New Roman" w:hAnsi="Times New Roman"/>
                <w:bCs/>
                <w:sz w:val="24"/>
                <w:szCs w:val="24"/>
                <w:lang w:val="en-GB"/>
              </w:rPr>
              <w:t>Critique:  Nephrology at the Charles University is well-represented in clinical nephrology.  Further development of junior faculty should be an important goal.</w:t>
            </w:r>
            <w:r w:rsidR="00ED1FC9">
              <w:rPr>
                <w:rFonts w:ascii="Times New Roman" w:hAnsi="Times New Roman"/>
                <w:bCs/>
                <w:sz w:val="24"/>
                <w:szCs w:val="24"/>
                <w:lang w:val="en-GB"/>
              </w:rPr>
              <w:t xml:space="preserve"> Urology has not been assessed as separately categorised by CUNI and WoS. The graph below include therefore Urology.</w:t>
            </w:r>
          </w:p>
          <w:p w14:paraId="772A2CE6" w14:textId="77777777" w:rsidR="003F37F1" w:rsidRPr="003F37F1" w:rsidRDefault="003F37F1" w:rsidP="003672BA">
            <w:pPr>
              <w:pStyle w:val="Odstavecseseznamem"/>
              <w:spacing w:line="360" w:lineRule="auto"/>
              <w:ind w:left="360" w:right="93"/>
              <w:jc w:val="both"/>
              <w:rPr>
                <w:rFonts w:ascii="Times New Roman" w:hAnsi="Times New Roman"/>
                <w:bCs/>
                <w:sz w:val="24"/>
                <w:szCs w:val="24"/>
                <w:lang w:val="en-GB"/>
              </w:rPr>
            </w:pPr>
          </w:p>
          <w:p w14:paraId="28096E10" w14:textId="77777777" w:rsidR="003F37F1" w:rsidRDefault="003F37F1" w:rsidP="003672BA">
            <w:pPr>
              <w:pStyle w:val="Odstavecseseznamem"/>
              <w:spacing w:line="360" w:lineRule="auto"/>
              <w:ind w:left="360" w:right="93" w:hanging="76"/>
              <w:jc w:val="both"/>
              <w:rPr>
                <w:rFonts w:ascii="Times New Roman" w:hAnsi="Times New Roman"/>
                <w:bCs/>
                <w:lang w:val="en-GB"/>
              </w:rPr>
            </w:pPr>
            <w:r>
              <w:rPr>
                <w:rFonts w:ascii="Helvetica" w:hAnsi="Helvetica" w:cs="Helvetica"/>
                <w:noProof/>
                <w:sz w:val="32"/>
                <w:szCs w:val="32"/>
                <w:lang w:eastAsia="cs-CZ"/>
              </w:rPr>
              <w:lastRenderedPageBreak/>
              <w:drawing>
                <wp:inline distT="0" distB="0" distL="0" distR="0" wp14:anchorId="0CD0350E" wp14:editId="2A901A60">
                  <wp:extent cx="5000908" cy="3218342"/>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1441" cy="3218685"/>
                          </a:xfrm>
                          <a:prstGeom prst="rect">
                            <a:avLst/>
                          </a:prstGeom>
                          <a:noFill/>
                          <a:ln>
                            <a:noFill/>
                          </a:ln>
                        </pic:spPr>
                      </pic:pic>
                    </a:graphicData>
                  </a:graphic>
                </wp:inline>
              </w:drawing>
            </w:r>
          </w:p>
          <w:p w14:paraId="3B6AE855" w14:textId="77777777" w:rsidR="00EF4144" w:rsidRDefault="00EF4144" w:rsidP="00EF4144">
            <w:pPr>
              <w:pStyle w:val="Odstavecseseznamem"/>
              <w:spacing w:after="0" w:line="360" w:lineRule="auto"/>
              <w:ind w:left="360" w:right="93"/>
              <w:jc w:val="both"/>
              <w:rPr>
                <w:rFonts w:ascii="Times New Roman" w:hAnsi="Times New Roman"/>
                <w:b/>
                <w:bCs/>
                <w:color w:val="FF0000"/>
                <w:sz w:val="24"/>
                <w:szCs w:val="24"/>
                <w:lang w:val="en-GB"/>
              </w:rPr>
            </w:pPr>
          </w:p>
          <w:p w14:paraId="5CA49833" w14:textId="1E753340" w:rsidR="003F37F1" w:rsidRPr="00AC72BF" w:rsidRDefault="003F37F1" w:rsidP="00726560">
            <w:pPr>
              <w:pStyle w:val="Odstavecseseznamem"/>
              <w:spacing w:after="0" w:line="360" w:lineRule="auto"/>
              <w:ind w:left="360" w:right="93"/>
              <w:jc w:val="both"/>
              <w:rPr>
                <w:rFonts w:ascii="Times New Roman" w:eastAsia="Times New Roman" w:hAnsi="Times New Roman"/>
                <w:b/>
                <w:color w:val="000000"/>
                <w:sz w:val="24"/>
                <w:szCs w:val="24"/>
                <w:lang w:val="en-GB"/>
              </w:rPr>
            </w:pPr>
          </w:p>
        </w:tc>
        <w:tc>
          <w:tcPr>
            <w:tcW w:w="1070" w:type="dxa"/>
            <w:tcBorders>
              <w:top w:val="nil"/>
              <w:left w:val="nil"/>
              <w:bottom w:val="nil"/>
              <w:right w:val="nil"/>
            </w:tcBorders>
            <w:shd w:val="clear" w:color="auto" w:fill="auto"/>
            <w:noWrap/>
            <w:vAlign w:val="bottom"/>
            <w:hideMark/>
          </w:tcPr>
          <w:p w14:paraId="316FCC2C"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F8803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05A80DC"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B0E6672"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60A76763"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5B3C7736"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39B63BD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1F219BAB"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675DA152"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0E02BB75"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9DE23DD"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A129D2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7234F56"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6DA5F0DE"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1136364E" w14:textId="0B9AAE0D" w:rsidR="003F37F1" w:rsidRPr="00AF5ADE" w:rsidRDefault="00AF5ADE" w:rsidP="003672BA">
            <w:pPr>
              <w:spacing w:after="0" w:line="240" w:lineRule="auto"/>
              <w:ind w:right="93"/>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Obstetrics &amp; Gynecology</w:t>
            </w:r>
          </w:p>
          <w:p w14:paraId="67CE130B"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p w14:paraId="6B5DAC09" w14:textId="189842F0" w:rsidR="003F37F1" w:rsidRPr="00DF5CEF" w:rsidRDefault="00DF2477" w:rsidP="00DF5CEF">
            <w:pPr>
              <w:spacing w:after="0"/>
              <w:ind w:right="93"/>
              <w:rPr>
                <w:rFonts w:ascii="Times New Roman" w:hAnsi="Times New Roman"/>
                <w:noProof/>
                <w:sz w:val="24"/>
                <w:szCs w:val="24"/>
                <w:lang w:val="en-US"/>
              </w:rPr>
            </w:pPr>
            <w:r w:rsidRPr="00DF5CEF">
              <w:rPr>
                <w:rFonts w:ascii="Times New Roman" w:hAnsi="Times New Roman"/>
                <w:bCs/>
                <w:sz w:val="24"/>
                <w:szCs w:val="24"/>
                <w:lang w:val="en-GB"/>
              </w:rPr>
              <w:t>The Department of Obstetrics/Gynecology is highly focused on providing excellent clinical care, with over 5,000 gynecologic operations performed last year.  Their website (</w:t>
            </w:r>
            <w:hyperlink r:id="rId27" w:history="1">
              <w:r w:rsidRPr="00DF5CEF">
                <w:rPr>
                  <w:rStyle w:val="Hypertextovodkaz"/>
                  <w:rFonts w:ascii="Times New Roman" w:hAnsi="Times New Roman"/>
                  <w:sz w:val="24"/>
                  <w:szCs w:val="24"/>
                </w:rPr>
                <w:t>https://gynpo.lf1.cuni.cz/en/profile-of-the-clinic-8208</w:t>
              </w:r>
            </w:hyperlink>
            <w:r w:rsidRPr="00DF5CEF">
              <w:rPr>
                <w:rFonts w:ascii="Times New Roman" w:hAnsi="Times New Roman"/>
                <w:sz w:val="24"/>
                <w:szCs w:val="24"/>
              </w:rPr>
              <w:t>) even acknowledges the difficulties of performing research: „</w:t>
            </w:r>
            <w:r w:rsidRPr="00DF5CEF">
              <w:rPr>
                <w:rFonts w:ascii="Times New Roman" w:hAnsi="Times New Roman"/>
                <w:color w:val="585858"/>
                <w:sz w:val="24"/>
                <w:szCs w:val="24"/>
                <w:shd w:val="clear" w:color="auto" w:fill="FFFFFF"/>
              </w:rPr>
              <w:t xml:space="preserve">One of the main components of work at this department is scientific research although at an institution with surgical orientation and many other obligations, this can be difficult.“ The primary area of research interest of the First Faculty of Medicine is in gynecologic ultrasound, which is led by Dr. Daniela Fischerova, with an H index of 23 and 132 publications.  Dr. Michal Zikan publishes in different areas, including </w:t>
            </w:r>
            <w:r w:rsidRPr="00DF5CEF">
              <w:rPr>
                <w:rFonts w:ascii="Times New Roman" w:hAnsi="Times New Roman"/>
                <w:color w:val="585858"/>
                <w:sz w:val="24"/>
                <w:szCs w:val="24"/>
                <w:shd w:val="clear" w:color="auto" w:fill="FFFFFF"/>
              </w:rPr>
              <w:lastRenderedPageBreak/>
              <w:t xml:space="preserve">ultrasound and gynecolog oncology and genetics and has 131 publications with an H index of 27.  For the Second Faculty of Medicine, Dr. Ursula Guillen (H index 8) has published on prematurity, and Dr. Magali Verheecke (H index 9) has published on gynecologic oncology.  In the Third Faculty of Medicine, publications are limited. LFHK is led in publications by Dr. Marian Kacerovsky with 173 publications and an H index of 26.  Her research is focused on the placenta and amniotic fluid.  The university has a very similar number of publications per author and high quality papers per author asa the leading universities in Europe.  Publications by significantly more authors results in significantly more publications in Copenhagen, Milan, and Leuven, with less publications in Heidelberg and Vienna. Research does not appear to have a primary emphasis in the Department of Obstetrics and Gynecology.  Research in gynecologic ultrasound does appear to be improving, and there are significant opportunities of collaboration between the strong genetics research at Charles University and obstetrics/gynecology, with evidence of some publications  this area. </w:t>
            </w:r>
          </w:p>
          <w:p w14:paraId="244CB97F" w14:textId="77777777" w:rsidR="00DF2477" w:rsidRDefault="00DF2477" w:rsidP="003672BA">
            <w:pPr>
              <w:spacing w:after="0" w:line="240" w:lineRule="auto"/>
              <w:ind w:right="93"/>
              <w:rPr>
                <w:rFonts w:ascii="Times New Roman" w:hAnsi="Times New Roman"/>
                <w:noProof/>
                <w:sz w:val="24"/>
                <w:szCs w:val="24"/>
                <w:lang w:val="en-US"/>
              </w:rPr>
            </w:pPr>
          </w:p>
          <w:p w14:paraId="2E74FB7A" w14:textId="58E055F4" w:rsidR="00DF2477" w:rsidRPr="00AC72BF" w:rsidRDefault="00DF2477"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314E5B4A" wp14:editId="26110412">
                  <wp:extent cx="6400800" cy="41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185CE76A" w14:textId="77777777" w:rsidR="003F37F1" w:rsidRDefault="003F37F1" w:rsidP="003672BA">
            <w:pPr>
              <w:ind w:right="93"/>
              <w:rPr>
                <w:rFonts w:ascii="Times New Roman" w:eastAsia="Times New Roman" w:hAnsi="Times New Roman"/>
                <w:color w:val="000000"/>
                <w:sz w:val="24"/>
                <w:szCs w:val="24"/>
                <w:lang w:val="en-GB"/>
              </w:rPr>
            </w:pPr>
          </w:p>
          <w:p w14:paraId="2C8F8DDA" w14:textId="4DC95A17" w:rsidR="003F37F1" w:rsidRPr="00AC72BF" w:rsidRDefault="003F37F1" w:rsidP="003672BA">
            <w:pPr>
              <w:ind w:right="93"/>
              <w:rPr>
                <w:rFonts w:ascii="Times New Roman" w:hAnsi="Times New Roman"/>
                <w:b/>
                <w:bCs/>
                <w:sz w:val="24"/>
                <w:szCs w:val="24"/>
              </w:rPr>
            </w:pPr>
            <w:r w:rsidRPr="00AC72BF">
              <w:rPr>
                <w:rFonts w:ascii="Times New Roman" w:hAnsi="Times New Roman"/>
                <w:b/>
                <w:bCs/>
                <w:sz w:val="24"/>
                <w:szCs w:val="24"/>
              </w:rPr>
              <w:t xml:space="preserve">Oncology and Haematology </w:t>
            </w:r>
          </w:p>
          <w:p w14:paraId="2EC2F908" w14:textId="4AA1F4A4" w:rsidR="00934805" w:rsidRPr="00AC72BF" w:rsidRDefault="00934805" w:rsidP="00934805">
            <w:pPr>
              <w:rPr>
                <w:rFonts w:ascii="Times New Roman" w:hAnsi="Times New Roman"/>
                <w:sz w:val="24"/>
                <w:szCs w:val="24"/>
              </w:rPr>
            </w:pPr>
            <w:r w:rsidRPr="00AC72BF">
              <w:rPr>
                <w:rFonts w:ascii="Times New Roman" w:hAnsi="Times New Roman"/>
                <w:sz w:val="24"/>
                <w:szCs w:val="24"/>
              </w:rPr>
              <w:t>Across all 5 medical faculties in CUNI</w:t>
            </w:r>
            <w:r w:rsidR="00F15DB3">
              <w:rPr>
                <w:rFonts w:ascii="Times New Roman" w:hAnsi="Times New Roman"/>
                <w:sz w:val="24"/>
                <w:szCs w:val="24"/>
              </w:rPr>
              <w:t>,</w:t>
            </w:r>
            <w:r w:rsidRPr="00AC72BF">
              <w:rPr>
                <w:rFonts w:ascii="Times New Roman" w:hAnsi="Times New Roman"/>
                <w:sz w:val="24"/>
                <w:szCs w:val="24"/>
              </w:rPr>
              <w:t xml:space="preserve"> a total of 949 papers with an AIS were produced within the oncology and haematology subfields, representing 1.4 outputs per member of staff. Among the 949 outputs 215 (23%) ranked in the top 10% (D1) with 14%, 19%, 20% and 28% in Q1-4 respectively.  Focusing exclusively on the D1 papers</w:t>
            </w:r>
            <w:r w:rsidR="00F15DB3">
              <w:rPr>
                <w:rFonts w:ascii="Times New Roman" w:hAnsi="Times New Roman"/>
                <w:sz w:val="24"/>
                <w:szCs w:val="24"/>
              </w:rPr>
              <w:t>,</w:t>
            </w:r>
            <w:r w:rsidRPr="00AC72BF">
              <w:rPr>
                <w:rFonts w:ascii="Times New Roman" w:hAnsi="Times New Roman"/>
                <w:sz w:val="24"/>
                <w:szCs w:val="24"/>
              </w:rPr>
              <w:t xml:space="preserve"> we found that 27 outputs were produced by &gt;1 faculty and hence the number of unique publications was 188 papers. Examining the spectrum of cancer investigated in these 188 D1 papers, we found that more than half (100/188, </w:t>
            </w:r>
            <w:r w:rsidRPr="00AC72BF">
              <w:rPr>
                <w:rFonts w:ascii="Times New Roman" w:hAnsi="Times New Roman"/>
                <w:sz w:val="24"/>
                <w:szCs w:val="24"/>
              </w:rPr>
              <w:lastRenderedPageBreak/>
              <w:t xml:space="preserve">53%) were on haematological malignancies (leukaemia, lymphoma, myeloma) whereas only 11% (21/188) focussed on the major five cancer types (breast, lung, bowel, skin and prostate).  Among the remaining 67 publications, 14 were pan-cancer studies. An examination of the broad type of study revealed that 38% were clinical trials or studies, 26% were basic science, 23% were translational and 12% were guidelines, reviews and meta-analysis.  The distribution of D1 papers across the faculties was broadly similarly (0.3-0.4 D1 paper per member of staff) with the exception of the Second Medical Faculty which had a ratio of 0.76 D1 paper member of staff. This difference was largely driven by a high number of leukaemia papers produced by this faculty – 44 DI papers from a total 22 members of staff classified in the haematology sub-field for this faculty. </w:t>
            </w:r>
          </w:p>
          <w:p w14:paraId="08D874DC" w14:textId="222F2990" w:rsidR="00934805" w:rsidRPr="00AC72BF" w:rsidRDefault="00934805" w:rsidP="00934805">
            <w:pPr>
              <w:rPr>
                <w:rFonts w:ascii="Times New Roman" w:hAnsi="Times New Roman"/>
                <w:sz w:val="24"/>
                <w:szCs w:val="24"/>
              </w:rPr>
            </w:pPr>
            <w:r w:rsidRPr="00AC72BF">
              <w:rPr>
                <w:rFonts w:ascii="Times New Roman" w:hAnsi="Times New Roman"/>
                <w:sz w:val="24"/>
                <w:szCs w:val="24"/>
              </w:rPr>
              <w:t>Among the 188 D1 papers, 63 (34</w:t>
            </w:r>
            <w:r w:rsidR="00ED1FC9">
              <w:rPr>
                <w:rFonts w:ascii="Times New Roman" w:hAnsi="Times New Roman"/>
                <w:sz w:val="24"/>
                <w:szCs w:val="24"/>
              </w:rPr>
              <w:t>%) were in high impact</w:t>
            </w:r>
            <w:r w:rsidRPr="00AC72BF">
              <w:rPr>
                <w:rFonts w:ascii="Times New Roman" w:hAnsi="Times New Roman"/>
                <w:sz w:val="24"/>
                <w:szCs w:val="24"/>
              </w:rPr>
              <w:t xml:space="preserve"> journals (Lancet Oncology (n=24), Journal of Clinical Oncology (n=15), The Lancet (n=5), The New England Journal of Medicine (n=5) etc). Collectively these studies had an </w:t>
            </w:r>
            <w:r w:rsidR="004F44C2">
              <w:rPr>
                <w:rFonts w:ascii="Times New Roman" w:hAnsi="Times New Roman"/>
                <w:sz w:val="24"/>
                <w:szCs w:val="24"/>
              </w:rPr>
              <w:t>H-index</w:t>
            </w:r>
            <w:r w:rsidRPr="00AC72BF">
              <w:rPr>
                <w:rFonts w:ascii="Times New Roman" w:hAnsi="Times New Roman"/>
                <w:sz w:val="24"/>
                <w:szCs w:val="24"/>
              </w:rPr>
              <w:t xml:space="preserve"> of 63, an average citation rate of 86 with 38 papers being cited &gt;100 times.  However, among these highly cited papers only 3 had CUNI senior authorship (first or last): (a) two European Urology papers from Professor Marko (Marek) Babjuk from 2.LF with 855 citations and (b) a Journal of Clinical Oncology paper from Professor Jan Stary, also from 2.LF.  This theme of a paucity of CUNI authors in senior authorship position is reflected across all 188 publications with only 26 (14%) having a CUNI senior author (first, last or joint first). </w:t>
            </w:r>
          </w:p>
          <w:p w14:paraId="7307E44D" w14:textId="5D6B5945" w:rsidR="00934805" w:rsidRPr="00AC72BF" w:rsidRDefault="00934805" w:rsidP="00934805">
            <w:pPr>
              <w:rPr>
                <w:rFonts w:ascii="Times New Roman" w:hAnsi="Times New Roman"/>
                <w:sz w:val="24"/>
                <w:szCs w:val="24"/>
              </w:rPr>
            </w:pPr>
            <w:r w:rsidRPr="00AC72BF">
              <w:rPr>
                <w:rFonts w:ascii="Times New Roman" w:hAnsi="Times New Roman"/>
                <w:sz w:val="24"/>
                <w:szCs w:val="24"/>
              </w:rPr>
              <w:t>Focussing on these 26 CUNI driven D1 papers, 12 were authored by 2.LF staff only, 6 by 1.LF and 2.LF staff</w:t>
            </w:r>
            <w:r w:rsidR="00DB3E7D">
              <w:rPr>
                <w:rFonts w:ascii="Times New Roman" w:hAnsi="Times New Roman"/>
                <w:sz w:val="24"/>
                <w:szCs w:val="24"/>
              </w:rPr>
              <w:t>,</w:t>
            </w:r>
            <w:r w:rsidRPr="00AC72BF">
              <w:rPr>
                <w:rFonts w:ascii="Times New Roman" w:hAnsi="Times New Roman"/>
                <w:sz w:val="24"/>
                <w:szCs w:val="24"/>
              </w:rPr>
              <w:t xml:space="preserve"> with the remaining 8 authored by other combinations. In terms of speciality 14/26 (54%) were leukaemia papers, 4 pan-cancer papers, with each other cancer type having 1 or 2 studies. The type of research covered by these papers was basic science (n=9), translational (n=9), clinical trial/study (n=5), Guidelines/Reviews/Meta-analysis (n=3). All 26 papers were individually reviewed </w:t>
            </w:r>
            <w:r w:rsidR="00DB3E7D">
              <w:rPr>
                <w:rFonts w:ascii="Times New Roman" w:hAnsi="Times New Roman"/>
                <w:sz w:val="24"/>
                <w:szCs w:val="24"/>
              </w:rPr>
              <w:t xml:space="preserve">by </w:t>
            </w:r>
            <w:r w:rsidRPr="00AC72BF">
              <w:rPr>
                <w:rFonts w:ascii="Times New Roman" w:hAnsi="Times New Roman"/>
                <w:sz w:val="24"/>
                <w:szCs w:val="24"/>
              </w:rPr>
              <w:t xml:space="preserve">two external reviewers . The quality of these papers was excellent: </w:t>
            </w:r>
            <w:r>
              <w:rPr>
                <w:rFonts w:ascii="Times New Roman" w:hAnsi="Times New Roman"/>
                <w:sz w:val="24"/>
                <w:szCs w:val="24"/>
              </w:rPr>
              <w:t>21</w:t>
            </w:r>
            <w:r w:rsidRPr="00AC72BF">
              <w:rPr>
                <w:rFonts w:ascii="Times New Roman" w:hAnsi="Times New Roman"/>
                <w:sz w:val="24"/>
                <w:szCs w:val="24"/>
              </w:rPr>
              <w:t xml:space="preserve"> scored A</w:t>
            </w:r>
            <w:r>
              <w:rPr>
                <w:rFonts w:ascii="Times New Roman" w:hAnsi="Times New Roman"/>
                <w:sz w:val="24"/>
                <w:szCs w:val="24"/>
              </w:rPr>
              <w:t xml:space="preserve">, </w:t>
            </w:r>
            <w:r w:rsidRPr="00AC72BF">
              <w:rPr>
                <w:rFonts w:ascii="Times New Roman" w:hAnsi="Times New Roman"/>
                <w:sz w:val="24"/>
                <w:szCs w:val="24"/>
              </w:rPr>
              <w:t xml:space="preserve"> </w:t>
            </w:r>
            <w:r>
              <w:rPr>
                <w:rFonts w:ascii="Times New Roman" w:hAnsi="Times New Roman"/>
                <w:sz w:val="24"/>
                <w:szCs w:val="24"/>
              </w:rPr>
              <w:t xml:space="preserve">4 </w:t>
            </w:r>
            <w:r w:rsidRPr="00AC72BF">
              <w:rPr>
                <w:rFonts w:ascii="Times New Roman" w:hAnsi="Times New Roman"/>
                <w:sz w:val="24"/>
                <w:szCs w:val="24"/>
              </w:rPr>
              <w:t>scored B</w:t>
            </w:r>
            <w:r>
              <w:rPr>
                <w:rFonts w:ascii="Times New Roman" w:hAnsi="Times New Roman"/>
                <w:sz w:val="24"/>
                <w:szCs w:val="24"/>
              </w:rPr>
              <w:t xml:space="preserve"> and one C</w:t>
            </w:r>
            <w:r w:rsidRPr="00AC72BF">
              <w:rPr>
                <w:rFonts w:ascii="Times New Roman" w:hAnsi="Times New Roman"/>
                <w:sz w:val="24"/>
                <w:szCs w:val="24"/>
              </w:rPr>
              <w:t xml:space="preserve">.   Five authors appeared on 5 or more of these 26 CUNI driven D1 papers: Hrusak, Ondrej (n=7); Mejstrikova, Ester (n=5); Stary, Jan (n=6); Trka, Jan (n=10); Zaliova, Marketa (n=7) all of whom are part of the same research group. </w:t>
            </w:r>
          </w:p>
          <w:p w14:paraId="10CE49A6" w14:textId="51DE94B8" w:rsidR="00934805" w:rsidRPr="00AC72BF" w:rsidRDefault="00934805" w:rsidP="00934805">
            <w:pPr>
              <w:rPr>
                <w:rFonts w:ascii="Times New Roman" w:hAnsi="Times New Roman"/>
                <w:sz w:val="24"/>
                <w:szCs w:val="24"/>
              </w:rPr>
            </w:pPr>
            <w:r w:rsidRPr="00AC72BF">
              <w:rPr>
                <w:rFonts w:ascii="Times New Roman" w:hAnsi="Times New Roman"/>
                <w:sz w:val="24"/>
                <w:szCs w:val="24"/>
              </w:rPr>
              <w:t>During this evaluation, period over 900 outputs were produced in the sub-fields of oncology and haematology but only one quarter were ranked in the top 10% journals. Furthermore, the research focus of the D1 papers was highly skewed towards haematological cancer</w:t>
            </w:r>
            <w:r w:rsidR="00DB3E7D">
              <w:rPr>
                <w:rFonts w:ascii="Times New Roman" w:hAnsi="Times New Roman"/>
                <w:sz w:val="24"/>
                <w:szCs w:val="24"/>
              </w:rPr>
              <w:t>,</w:t>
            </w:r>
            <w:r w:rsidRPr="00AC72BF">
              <w:rPr>
                <w:rFonts w:ascii="Times New Roman" w:hAnsi="Times New Roman"/>
                <w:sz w:val="24"/>
                <w:szCs w:val="24"/>
              </w:rPr>
              <w:t xml:space="preserve"> with top class research into the five major cancer types being poor. CUNI researchers have contributed towards many excellent papers</w:t>
            </w:r>
            <w:r w:rsidR="00DB3E7D">
              <w:rPr>
                <w:rFonts w:ascii="Times New Roman" w:hAnsi="Times New Roman"/>
                <w:sz w:val="24"/>
                <w:szCs w:val="24"/>
              </w:rPr>
              <w:t>,</w:t>
            </w:r>
            <w:r w:rsidRPr="00AC72BF">
              <w:rPr>
                <w:rFonts w:ascii="Times New Roman" w:hAnsi="Times New Roman"/>
                <w:sz w:val="24"/>
                <w:szCs w:val="24"/>
              </w:rPr>
              <w:t xml:space="preserve"> including 63 pap</w:t>
            </w:r>
            <w:r w:rsidR="00ED1FC9">
              <w:rPr>
                <w:rFonts w:ascii="Times New Roman" w:hAnsi="Times New Roman"/>
                <w:sz w:val="24"/>
                <w:szCs w:val="24"/>
              </w:rPr>
              <w:t xml:space="preserve">ers in the very best </w:t>
            </w:r>
            <w:r w:rsidRPr="00AC72BF">
              <w:rPr>
                <w:rFonts w:ascii="Times New Roman" w:hAnsi="Times New Roman"/>
                <w:sz w:val="24"/>
                <w:szCs w:val="24"/>
              </w:rPr>
              <w:t xml:space="preserve"> journals. However, for the bulk of the papers CUNI researcher</w:t>
            </w:r>
            <w:r w:rsidR="00DB3E7D">
              <w:rPr>
                <w:rFonts w:ascii="Times New Roman" w:hAnsi="Times New Roman"/>
                <w:sz w:val="24"/>
                <w:szCs w:val="24"/>
              </w:rPr>
              <w:t>s</w:t>
            </w:r>
            <w:r w:rsidRPr="00AC72BF">
              <w:rPr>
                <w:rFonts w:ascii="Times New Roman" w:hAnsi="Times New Roman"/>
                <w:sz w:val="24"/>
                <w:szCs w:val="24"/>
              </w:rPr>
              <w:t xml:space="preserve"> contributed (86%) rather than </w:t>
            </w:r>
            <w:r w:rsidR="00DB3E7D">
              <w:rPr>
                <w:rFonts w:ascii="Times New Roman" w:hAnsi="Times New Roman"/>
                <w:sz w:val="24"/>
                <w:szCs w:val="24"/>
              </w:rPr>
              <w:t>led</w:t>
            </w:r>
            <w:r w:rsidR="00DB3E7D" w:rsidRPr="00AC72BF">
              <w:rPr>
                <w:rFonts w:ascii="Times New Roman" w:hAnsi="Times New Roman"/>
                <w:sz w:val="24"/>
                <w:szCs w:val="24"/>
              </w:rPr>
              <w:t xml:space="preserve"> </w:t>
            </w:r>
            <w:r w:rsidRPr="00AC72BF">
              <w:rPr>
                <w:rFonts w:ascii="Times New Roman" w:hAnsi="Times New Roman"/>
                <w:sz w:val="24"/>
                <w:szCs w:val="24"/>
              </w:rPr>
              <w:t xml:space="preserve">(14%) the research. The research that was </w:t>
            </w:r>
            <w:r w:rsidR="00DB3E7D">
              <w:rPr>
                <w:rFonts w:ascii="Times New Roman" w:hAnsi="Times New Roman"/>
                <w:sz w:val="24"/>
                <w:szCs w:val="24"/>
              </w:rPr>
              <w:t>led</w:t>
            </w:r>
            <w:r w:rsidR="00DB3E7D" w:rsidRPr="00AC72BF">
              <w:rPr>
                <w:rFonts w:ascii="Times New Roman" w:hAnsi="Times New Roman"/>
                <w:sz w:val="24"/>
                <w:szCs w:val="24"/>
              </w:rPr>
              <w:t xml:space="preserve"> </w:t>
            </w:r>
            <w:r w:rsidRPr="00AC72BF">
              <w:rPr>
                <w:rFonts w:ascii="Times New Roman" w:hAnsi="Times New Roman"/>
                <w:sz w:val="24"/>
                <w:szCs w:val="24"/>
              </w:rPr>
              <w:t>by CUNI researchers was, however, excellent</w:t>
            </w:r>
            <w:r w:rsidR="00DB3E7D">
              <w:rPr>
                <w:rFonts w:ascii="Times New Roman" w:hAnsi="Times New Roman"/>
                <w:sz w:val="24"/>
                <w:szCs w:val="24"/>
              </w:rPr>
              <w:t>,</w:t>
            </w:r>
            <w:r w:rsidRPr="00AC72BF">
              <w:rPr>
                <w:rFonts w:ascii="Times New Roman" w:hAnsi="Times New Roman"/>
                <w:sz w:val="24"/>
                <w:szCs w:val="24"/>
              </w:rPr>
              <w:t xml:space="preserve"> and 66% papers scored a grade A in external review. This analysis only revealed one group that was consistently </w:t>
            </w:r>
            <w:r w:rsidR="00DB3E7D">
              <w:rPr>
                <w:rFonts w:ascii="Times New Roman" w:hAnsi="Times New Roman"/>
                <w:sz w:val="24"/>
                <w:szCs w:val="24"/>
              </w:rPr>
              <w:t xml:space="preserve">leading and </w:t>
            </w:r>
            <w:r w:rsidRPr="00AC72BF">
              <w:rPr>
                <w:rFonts w:ascii="Times New Roman" w:hAnsi="Times New Roman"/>
                <w:sz w:val="24"/>
                <w:szCs w:val="24"/>
              </w:rPr>
              <w:t>publishing in D1 papers</w:t>
            </w:r>
            <w:r w:rsidR="00DB3E7D">
              <w:rPr>
                <w:rFonts w:ascii="Times New Roman" w:hAnsi="Times New Roman"/>
                <w:sz w:val="24"/>
                <w:szCs w:val="24"/>
              </w:rPr>
              <w:t>, which was</w:t>
            </w:r>
            <w:r w:rsidRPr="00AC72BF">
              <w:rPr>
                <w:rFonts w:ascii="Times New Roman" w:hAnsi="Times New Roman"/>
                <w:sz w:val="24"/>
                <w:szCs w:val="24"/>
              </w:rPr>
              <w:t xml:space="preserve"> the Childhood Leukaemia in Prague (CLIP) headed by Professors Jan Trka and Jan Stary and based in the Second Medical Faculty. </w:t>
            </w:r>
          </w:p>
          <w:p w14:paraId="54EC1987" w14:textId="77777777" w:rsidR="00934805" w:rsidRPr="00AC72BF" w:rsidRDefault="00934805" w:rsidP="00934805">
            <w:pPr>
              <w:rPr>
                <w:rFonts w:ascii="Times New Roman" w:hAnsi="Times New Roman"/>
                <w:sz w:val="24"/>
                <w:szCs w:val="24"/>
              </w:rPr>
            </w:pPr>
            <w:r w:rsidRPr="00AC72BF">
              <w:rPr>
                <w:rFonts w:ascii="Times New Roman" w:hAnsi="Times New Roman"/>
                <w:sz w:val="24"/>
                <w:szCs w:val="24"/>
              </w:rPr>
              <w:lastRenderedPageBreak/>
              <w:t xml:space="preserve">With respect to international benchmarks, the field of hematology and oncology differ considerably </w:t>
            </w:r>
            <w:r>
              <w:rPr>
                <w:rFonts w:ascii="Times New Roman" w:hAnsi="Times New Roman"/>
                <w:sz w:val="24"/>
                <w:szCs w:val="24"/>
              </w:rPr>
              <w:t>with respect to the number of AIS publication per member of staff</w:t>
            </w:r>
            <w:r w:rsidRPr="00AC72BF">
              <w:rPr>
                <w:rFonts w:ascii="Times New Roman" w:hAnsi="Times New Roman"/>
                <w:sz w:val="24"/>
                <w:szCs w:val="24"/>
              </w:rPr>
              <w:t xml:space="preserve">  For the top 50% outputs, CUNI ranks 2nd out of 7 universities in hematology,, while it is last in oncology. Hematology (especially in 2.LF) can be considered a flagship centre of expertise.  (source WoS bibliometric data)</w:t>
            </w:r>
          </w:p>
          <w:p w14:paraId="009C410A" w14:textId="79D1FE57" w:rsidR="00934805" w:rsidRPr="00AC72BF" w:rsidRDefault="00934805" w:rsidP="00934805">
            <w:pPr>
              <w:rPr>
                <w:rFonts w:ascii="Times New Roman" w:hAnsi="Times New Roman"/>
                <w:sz w:val="24"/>
                <w:szCs w:val="24"/>
              </w:rPr>
            </w:pPr>
            <w:r>
              <w:rPr>
                <w:rFonts w:ascii="Times New Roman" w:hAnsi="Times New Roman"/>
                <w:sz w:val="24"/>
                <w:szCs w:val="24"/>
              </w:rPr>
              <w:t>Between 2014 and 2018 a total of 90 external grants were active in the fields of oncology and hematology</w:t>
            </w:r>
            <w:r w:rsidR="00DB3E7D">
              <w:rPr>
                <w:rFonts w:ascii="Times New Roman" w:hAnsi="Times New Roman"/>
                <w:sz w:val="24"/>
                <w:szCs w:val="24"/>
              </w:rPr>
              <w:t>,</w:t>
            </w:r>
            <w:r>
              <w:rPr>
                <w:rFonts w:ascii="Times New Roman" w:hAnsi="Times New Roman"/>
                <w:sz w:val="24"/>
                <w:szCs w:val="24"/>
              </w:rPr>
              <w:t xml:space="preserve"> with </w:t>
            </w:r>
            <w:r w:rsidR="00DB3E7D">
              <w:rPr>
                <w:rFonts w:ascii="Times New Roman" w:hAnsi="Times New Roman"/>
                <w:sz w:val="24"/>
                <w:szCs w:val="24"/>
              </w:rPr>
              <w:t>total funding</w:t>
            </w:r>
            <w:r>
              <w:rPr>
                <w:rFonts w:ascii="Times New Roman" w:hAnsi="Times New Roman"/>
                <w:sz w:val="24"/>
                <w:szCs w:val="24"/>
              </w:rPr>
              <w:t xml:space="preserve"> of 14.3 million euro. This is not a large amount of income spread across the academic and research staff population which </w:t>
            </w:r>
            <w:r w:rsidR="00DB3E7D">
              <w:rPr>
                <w:rFonts w:ascii="Times New Roman" w:hAnsi="Times New Roman"/>
                <w:sz w:val="24"/>
                <w:szCs w:val="24"/>
              </w:rPr>
              <w:t xml:space="preserve">included </w:t>
            </w:r>
            <w:r>
              <w:rPr>
                <w:rFonts w:ascii="Times New Roman" w:hAnsi="Times New Roman"/>
                <w:sz w:val="24"/>
                <w:szCs w:val="24"/>
              </w:rPr>
              <w:t xml:space="preserve">112 core staff (&gt;50% invovlement rate) and 210 non-core staff (&lt;50% invovlement rate). Furthermore, 28 (31%) of the grants and 5.4 million euro (38%) of the funding came from a single </w:t>
            </w:r>
            <w:r w:rsidR="00DB3E7D">
              <w:rPr>
                <w:rFonts w:ascii="Times New Roman" w:hAnsi="Times New Roman"/>
                <w:sz w:val="24"/>
                <w:szCs w:val="24"/>
              </w:rPr>
              <w:t>–area: the</w:t>
            </w:r>
            <w:r>
              <w:rPr>
                <w:rFonts w:ascii="Times New Roman" w:hAnsi="Times New Roman"/>
                <w:sz w:val="24"/>
                <w:szCs w:val="24"/>
              </w:rPr>
              <w:t xml:space="preserve"> </w:t>
            </w:r>
            <w:r w:rsidRPr="00E040F2">
              <w:rPr>
                <w:rFonts w:ascii="Times New Roman" w:hAnsi="Times New Roman"/>
                <w:sz w:val="24"/>
                <w:szCs w:val="24"/>
              </w:rPr>
              <w:t>Department of Paediatric Haematology and Oncology</w:t>
            </w:r>
            <w:r>
              <w:rPr>
                <w:rFonts w:ascii="Times New Roman" w:hAnsi="Times New Roman"/>
                <w:sz w:val="24"/>
                <w:szCs w:val="24"/>
              </w:rPr>
              <w:t xml:space="preserve"> in the 2nd Faculty. Therefore, the external grant income of the remaining CUNI oncology and hematology researcher is not good. Equally concerning is the decline in external grants awarded in the past three years: 14 in 2016, 10 in 2017 and 5 in 2018. On the plus side, we note that CUNI researchers are involved in several EU funded grants including (1) </w:t>
            </w:r>
            <w:r w:rsidRPr="00CB367A">
              <w:rPr>
                <w:rFonts w:ascii="Times New Roman" w:hAnsi="Times New Roman"/>
                <w:sz w:val="24"/>
                <w:szCs w:val="24"/>
              </w:rPr>
              <w:t>Childhood Leukemia: Overcoming distance between South America and Europe Regions</w:t>
            </w:r>
            <w:r>
              <w:rPr>
                <w:rFonts w:ascii="Times New Roman" w:hAnsi="Times New Roman"/>
                <w:sz w:val="24"/>
                <w:szCs w:val="24"/>
              </w:rPr>
              <w:t xml:space="preserve">; (2) </w:t>
            </w:r>
            <w:r>
              <w:rPr>
                <w:rFonts w:ascii="Arial" w:hAnsi="Arial" w:cs="Arial"/>
                <w:color w:val="333333"/>
                <w:sz w:val="21"/>
                <w:szCs w:val="21"/>
                <w:shd w:val="clear" w:color="auto" w:fill="FFFFFF"/>
              </w:rPr>
              <w:t xml:space="preserve">Translational studies of HEAD and neck cancer in South America and Europe; (3) </w:t>
            </w:r>
            <w:r w:rsidRPr="00CB367A">
              <w:rPr>
                <w:rFonts w:ascii="Arial" w:hAnsi="Arial" w:cs="Arial"/>
                <w:color w:val="333333"/>
                <w:sz w:val="21"/>
                <w:szCs w:val="21"/>
                <w:shd w:val="clear" w:color="auto" w:fill="FFFFFF"/>
              </w:rPr>
              <w:t>Female cancer prediction using cervical omics to individualise screening and prevention</w:t>
            </w:r>
            <w:r>
              <w:rPr>
                <w:rFonts w:ascii="Arial" w:hAnsi="Arial" w:cs="Arial"/>
                <w:color w:val="333333"/>
                <w:sz w:val="21"/>
                <w:szCs w:val="21"/>
                <w:shd w:val="clear" w:color="auto" w:fill="FFFFFF"/>
              </w:rPr>
              <w:t xml:space="preserve">. However none of these projects are being led by CUNI researchers. </w:t>
            </w:r>
          </w:p>
          <w:p w14:paraId="0577CCD1" w14:textId="77777777" w:rsidR="00934805" w:rsidRPr="00AC72BF" w:rsidRDefault="00934805" w:rsidP="00934805">
            <w:pPr>
              <w:rPr>
                <w:rFonts w:ascii="Times New Roman" w:hAnsi="Times New Roman"/>
                <w:sz w:val="24"/>
                <w:szCs w:val="24"/>
              </w:rPr>
            </w:pPr>
            <w:r w:rsidRPr="00AC72BF">
              <w:rPr>
                <w:rFonts w:ascii="Times New Roman" w:hAnsi="Times New Roman"/>
                <w:sz w:val="24"/>
                <w:szCs w:val="24"/>
              </w:rPr>
              <w:t>SUMMARY: 188 D1 papers out of total of 949</w:t>
            </w:r>
          </w:p>
          <w:p w14:paraId="5FF91989" w14:textId="77777777" w:rsidR="00934805" w:rsidRPr="00AC72BF" w:rsidRDefault="00934805" w:rsidP="00934805">
            <w:pPr>
              <w:rPr>
                <w:rFonts w:ascii="Times New Roman" w:hAnsi="Times New Roman"/>
                <w:sz w:val="24"/>
                <w:szCs w:val="24"/>
              </w:rPr>
            </w:pPr>
            <w:r w:rsidRPr="00AC72BF">
              <w:rPr>
                <w:rFonts w:ascii="Times New Roman" w:hAnsi="Times New Roman"/>
                <w:noProof/>
                <w:sz w:val="24"/>
                <w:szCs w:val="24"/>
                <w:lang w:eastAsia="cs-CZ"/>
              </w:rPr>
              <w:lastRenderedPageBreak/>
              <w:drawing>
                <wp:inline distT="0" distB="0" distL="0" distR="0" wp14:anchorId="7255772A" wp14:editId="53C97168">
                  <wp:extent cx="3784600" cy="3532600"/>
                  <wp:effectExtent l="0" t="0" r="0"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MMARY TABLE.png"/>
                          <pic:cNvPicPr/>
                        </pic:nvPicPr>
                        <pic:blipFill>
                          <a:blip r:embed="rId29">
                            <a:extLst>
                              <a:ext uri="{28A0092B-C50C-407E-A947-70E740481C1C}">
                                <a14:useLocalDpi xmlns:a14="http://schemas.microsoft.com/office/drawing/2010/main" val="0"/>
                              </a:ext>
                            </a:extLst>
                          </a:blip>
                          <a:stretch>
                            <a:fillRect/>
                          </a:stretch>
                        </pic:blipFill>
                        <pic:spPr>
                          <a:xfrm>
                            <a:off x="0" y="0"/>
                            <a:ext cx="3823630" cy="3569031"/>
                          </a:xfrm>
                          <a:prstGeom prst="rect">
                            <a:avLst/>
                          </a:prstGeom>
                        </pic:spPr>
                      </pic:pic>
                    </a:graphicData>
                  </a:graphic>
                </wp:inline>
              </w:drawing>
            </w:r>
          </w:p>
          <w:p w14:paraId="1396488C" w14:textId="0333D6DD" w:rsidR="003F37F1" w:rsidRPr="00AC72BF" w:rsidRDefault="003F37F1" w:rsidP="003672BA">
            <w:pPr>
              <w:ind w:right="93"/>
              <w:rPr>
                <w:rFonts w:ascii="Times New Roman" w:hAnsi="Times New Roman"/>
                <w:sz w:val="24"/>
                <w:szCs w:val="24"/>
              </w:rPr>
            </w:pPr>
          </w:p>
          <w:p w14:paraId="58BFF887" w14:textId="32561C7C" w:rsidR="003F37F1" w:rsidRPr="00AC72BF" w:rsidRDefault="003F37F1" w:rsidP="003672BA">
            <w:pPr>
              <w:spacing w:after="0" w:line="240" w:lineRule="auto"/>
              <w:ind w:right="93"/>
              <w:rPr>
                <w:rFonts w:ascii="Times New Roman" w:eastAsia="Times New Roman" w:hAnsi="Times New Roman"/>
                <w:b/>
                <w:color w:val="000000"/>
                <w:sz w:val="24"/>
                <w:szCs w:val="24"/>
                <w:lang w:val="en-GB"/>
              </w:rPr>
            </w:pPr>
          </w:p>
        </w:tc>
        <w:tc>
          <w:tcPr>
            <w:tcW w:w="864" w:type="dxa"/>
            <w:tcBorders>
              <w:top w:val="nil"/>
              <w:left w:val="nil"/>
              <w:bottom w:val="nil"/>
              <w:right w:val="nil"/>
            </w:tcBorders>
            <w:shd w:val="clear" w:color="auto" w:fill="auto"/>
            <w:noWrap/>
            <w:vAlign w:val="bottom"/>
            <w:hideMark/>
          </w:tcPr>
          <w:p w14:paraId="57AE3ECA"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52ABACDD"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F13803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298C7A"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6FEF265"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738AECC4"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62888F88"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1630968D" wp14:editId="610C5CD0">
                  <wp:extent cx="6400800" cy="4114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0C0E6F92" w14:textId="296DCAF0" w:rsidR="003F37F1" w:rsidRPr="00AC72BF" w:rsidRDefault="003F37F1" w:rsidP="003672BA">
            <w:pPr>
              <w:spacing w:after="0" w:line="240" w:lineRule="auto"/>
              <w:ind w:right="93"/>
              <w:rPr>
                <w:rFonts w:ascii="Times New Roman" w:eastAsia="Times New Roman" w:hAnsi="Times New Roman"/>
                <w:color w:val="000000"/>
                <w:sz w:val="24"/>
                <w:szCs w:val="24"/>
                <w:lang w:val="en-GB"/>
              </w:rPr>
            </w:pPr>
            <w:r w:rsidRPr="00AC72BF">
              <w:rPr>
                <w:rFonts w:ascii="Times New Roman" w:hAnsi="Times New Roman"/>
                <w:noProof/>
                <w:sz w:val="24"/>
                <w:szCs w:val="24"/>
                <w:lang w:eastAsia="cs-CZ"/>
              </w:rPr>
              <w:lastRenderedPageBreak/>
              <w:drawing>
                <wp:inline distT="0" distB="0" distL="0" distR="0" wp14:anchorId="46E95F36" wp14:editId="469A52F8">
                  <wp:extent cx="6400800" cy="41148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c>
        <w:tc>
          <w:tcPr>
            <w:tcW w:w="1093" w:type="dxa"/>
            <w:tcBorders>
              <w:top w:val="nil"/>
              <w:left w:val="nil"/>
              <w:bottom w:val="nil"/>
              <w:right w:val="nil"/>
            </w:tcBorders>
            <w:shd w:val="clear" w:color="auto" w:fill="auto"/>
            <w:noWrap/>
            <w:vAlign w:val="bottom"/>
            <w:hideMark/>
          </w:tcPr>
          <w:p w14:paraId="20DADF3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07B172FC"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3D94DDA7"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13081AAD"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8F40B8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56A3799"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6E392FE"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447D4E" w:rsidRPr="00AC72BF" w14:paraId="67381AAD" w14:textId="77777777" w:rsidTr="00447D4E">
        <w:trPr>
          <w:trHeight w:val="300"/>
        </w:trPr>
        <w:tc>
          <w:tcPr>
            <w:tcW w:w="15099" w:type="dxa"/>
            <w:gridSpan w:val="8"/>
            <w:tcBorders>
              <w:top w:val="nil"/>
              <w:left w:val="nil"/>
              <w:bottom w:val="nil"/>
              <w:right w:val="nil"/>
            </w:tcBorders>
            <w:shd w:val="clear" w:color="auto" w:fill="auto"/>
            <w:noWrap/>
            <w:vAlign w:val="bottom"/>
            <w:hideMark/>
          </w:tcPr>
          <w:p w14:paraId="6D5357ED" w14:textId="77777777" w:rsidR="00447D4E" w:rsidRPr="00AC72BF" w:rsidRDefault="00447D4E" w:rsidP="00447D4E">
            <w:pPr>
              <w:spacing w:after="0" w:line="240" w:lineRule="auto"/>
              <w:rPr>
                <w:rFonts w:ascii="Times New Roman" w:eastAsia="Times New Roman" w:hAnsi="Times New Roman"/>
                <w:color w:val="000000"/>
                <w:sz w:val="24"/>
                <w:szCs w:val="24"/>
                <w:lang w:val="en-GB"/>
              </w:rPr>
            </w:pPr>
          </w:p>
          <w:p w14:paraId="3161132A" w14:textId="77777777" w:rsidR="00447D4E" w:rsidRDefault="00447D4E" w:rsidP="00447D4E">
            <w:pPr>
              <w:spacing w:after="0" w:line="240" w:lineRule="auto"/>
              <w:rPr>
                <w:rFonts w:ascii="Times New Roman" w:eastAsia="Times New Roman" w:hAnsi="Times New Roman"/>
                <w:color w:val="000000"/>
                <w:sz w:val="24"/>
                <w:szCs w:val="24"/>
                <w:lang w:val="en-GB"/>
              </w:rPr>
            </w:pPr>
          </w:p>
          <w:p w14:paraId="0EF30E60" w14:textId="679B3B26" w:rsidR="003D37A5" w:rsidRPr="00EF4144" w:rsidRDefault="003D37A5" w:rsidP="003D37A5">
            <w:pPr>
              <w:pStyle w:val="Odstavecseseznamem"/>
              <w:spacing w:after="0" w:line="360" w:lineRule="auto"/>
              <w:ind w:left="360" w:right="93"/>
              <w:jc w:val="both"/>
              <w:rPr>
                <w:rFonts w:ascii="Times New Roman" w:hAnsi="Times New Roman"/>
                <w:b/>
                <w:bCs/>
                <w:color w:val="FF0000"/>
                <w:sz w:val="24"/>
                <w:szCs w:val="24"/>
                <w:lang w:val="en-GB"/>
              </w:rPr>
            </w:pPr>
          </w:p>
          <w:p w14:paraId="1D7B31E6" w14:textId="77777777" w:rsidR="003D37A5" w:rsidRPr="00AC72BF" w:rsidRDefault="003D37A5" w:rsidP="003D37A5">
            <w:pPr>
              <w:spacing w:after="0" w:line="240" w:lineRule="auto"/>
              <w:rPr>
                <w:rFonts w:ascii="Times New Roman" w:eastAsia="Times New Roman" w:hAnsi="Times New Roman"/>
                <w:color w:val="000000"/>
                <w:sz w:val="24"/>
                <w:szCs w:val="24"/>
                <w:lang w:val="en-GB"/>
              </w:rPr>
            </w:pPr>
          </w:p>
          <w:p w14:paraId="1C654B8A" w14:textId="7A595286" w:rsidR="00EF4144" w:rsidRPr="00EF4144" w:rsidRDefault="00EF4144" w:rsidP="00EF4144">
            <w:pPr>
              <w:pStyle w:val="Odstavecseseznamem"/>
              <w:spacing w:after="0" w:line="360" w:lineRule="auto"/>
              <w:ind w:left="360" w:right="93"/>
              <w:jc w:val="both"/>
              <w:rPr>
                <w:rFonts w:ascii="Times New Roman" w:hAnsi="Times New Roman"/>
                <w:b/>
                <w:bCs/>
                <w:color w:val="FF0000"/>
                <w:sz w:val="24"/>
                <w:szCs w:val="24"/>
                <w:lang w:val="en-GB"/>
              </w:rPr>
            </w:pPr>
          </w:p>
          <w:p w14:paraId="459C6897" w14:textId="77777777" w:rsidR="00EF4144" w:rsidRPr="00AC72BF" w:rsidRDefault="00EF4144" w:rsidP="00447D4E">
            <w:pPr>
              <w:spacing w:after="0" w:line="240" w:lineRule="auto"/>
              <w:rPr>
                <w:rFonts w:ascii="Times New Roman" w:eastAsia="Times New Roman" w:hAnsi="Times New Roman"/>
                <w:color w:val="000000"/>
                <w:sz w:val="24"/>
                <w:szCs w:val="24"/>
                <w:lang w:val="en-GB"/>
              </w:rPr>
            </w:pPr>
          </w:p>
          <w:p w14:paraId="7428F3AB" w14:textId="77777777" w:rsidR="00447D4E" w:rsidRPr="00AC72BF" w:rsidRDefault="00447D4E" w:rsidP="00447D4E">
            <w:pPr>
              <w:spacing w:after="0" w:line="240" w:lineRule="auto"/>
              <w:rPr>
                <w:rFonts w:ascii="Times New Roman" w:eastAsia="Times New Roman" w:hAnsi="Times New Roman"/>
                <w:color w:val="000000"/>
                <w:sz w:val="24"/>
                <w:szCs w:val="24"/>
                <w:lang w:val="en-GB"/>
              </w:rPr>
            </w:pPr>
          </w:p>
          <w:p w14:paraId="6218D6EA" w14:textId="77777777" w:rsidR="00447D4E" w:rsidRPr="00AC72BF" w:rsidRDefault="00447D4E" w:rsidP="00447D4E">
            <w:pPr>
              <w:rPr>
                <w:rFonts w:ascii="Times New Roman" w:hAnsi="Times New Roman"/>
                <w:sz w:val="24"/>
                <w:szCs w:val="24"/>
                <w:lang w:val="en-US"/>
              </w:rPr>
            </w:pPr>
            <w:r w:rsidRPr="00AC72BF">
              <w:rPr>
                <w:rFonts w:ascii="Times New Roman" w:hAnsi="Times New Roman"/>
                <w:b/>
                <w:sz w:val="24"/>
                <w:szCs w:val="24"/>
                <w:lang w:val="en-US"/>
              </w:rPr>
              <w:lastRenderedPageBreak/>
              <w:t xml:space="preserve">Pharmacy, Pharmacology and Toxicology </w:t>
            </w:r>
            <w:r w:rsidRPr="00AC72BF">
              <w:rPr>
                <w:rFonts w:ascii="Times New Roman" w:hAnsi="Times New Roman"/>
                <w:sz w:val="24"/>
                <w:szCs w:val="24"/>
                <w:lang w:val="en-US"/>
              </w:rPr>
              <w:t xml:space="preserve"> </w:t>
            </w:r>
          </w:p>
          <w:p w14:paraId="6DF9A925" w14:textId="77777777" w:rsidR="00447D4E" w:rsidRPr="00AC72BF" w:rsidRDefault="00447D4E" w:rsidP="00447D4E">
            <w:pPr>
              <w:rPr>
                <w:rFonts w:ascii="Times New Roman" w:hAnsi="Times New Roman"/>
                <w:sz w:val="24"/>
                <w:szCs w:val="24"/>
                <w:lang w:val="en-US"/>
              </w:rPr>
            </w:pPr>
          </w:p>
          <w:p w14:paraId="1DDADDFD" w14:textId="08173FB4" w:rsidR="00447D4E" w:rsidRPr="00AC72BF" w:rsidRDefault="00447D4E" w:rsidP="00447D4E">
            <w:pPr>
              <w:rPr>
                <w:rFonts w:ascii="Times New Roman" w:hAnsi="Times New Roman"/>
                <w:sz w:val="24"/>
                <w:szCs w:val="24"/>
                <w:lang w:val="en-US"/>
              </w:rPr>
            </w:pPr>
            <w:r>
              <w:rPr>
                <w:rFonts w:ascii="Times New Roman" w:hAnsi="Times New Roman"/>
                <w:sz w:val="24"/>
                <w:szCs w:val="24"/>
                <w:lang w:val="en-US"/>
              </w:rPr>
              <w:t xml:space="preserve">In the subfields Pharmacy &amp; Pharmacology and Toxicology among 569 papers published by CUNI authors in the period 2014-2018 </w:t>
            </w:r>
            <w:r w:rsidRPr="00AC72BF">
              <w:rPr>
                <w:rFonts w:ascii="Times New Roman" w:hAnsi="Times New Roman"/>
                <w:sz w:val="24"/>
                <w:szCs w:val="24"/>
                <w:lang w:val="en-US"/>
              </w:rPr>
              <w:t xml:space="preserve">, </w:t>
            </w:r>
            <w:r>
              <w:rPr>
                <w:rFonts w:ascii="Times New Roman" w:hAnsi="Times New Roman"/>
                <w:sz w:val="24"/>
                <w:szCs w:val="24"/>
                <w:lang w:val="en-US"/>
              </w:rPr>
              <w:t>531</w:t>
            </w:r>
            <w:r w:rsidRPr="00AC72BF">
              <w:rPr>
                <w:rFonts w:ascii="Times New Roman" w:hAnsi="Times New Roman"/>
                <w:sz w:val="24"/>
                <w:szCs w:val="24"/>
                <w:lang w:val="en-US"/>
              </w:rPr>
              <w:t xml:space="preserve"> papers (12 D1,  </w:t>
            </w:r>
            <w:r>
              <w:rPr>
                <w:rFonts w:ascii="Times New Roman" w:hAnsi="Times New Roman"/>
                <w:sz w:val="24"/>
                <w:szCs w:val="24"/>
                <w:lang w:val="en-US"/>
              </w:rPr>
              <w:t>73</w:t>
            </w:r>
            <w:r w:rsidRPr="00AC72BF">
              <w:rPr>
                <w:rFonts w:ascii="Times New Roman" w:hAnsi="Times New Roman"/>
                <w:sz w:val="24"/>
                <w:szCs w:val="24"/>
                <w:lang w:val="en-US"/>
              </w:rPr>
              <w:t xml:space="preserve"> Q1, 178 Q2, 146 Q3 and 122 Q4) were assigned to the subfield Pharmacy &amp; Pharmacology and </w:t>
            </w:r>
            <w:r>
              <w:rPr>
                <w:rFonts w:ascii="Times New Roman" w:hAnsi="Times New Roman"/>
                <w:sz w:val="24"/>
                <w:szCs w:val="24"/>
                <w:lang w:val="en-US"/>
              </w:rPr>
              <w:t>38</w:t>
            </w:r>
            <w:r w:rsidRPr="00AC72BF">
              <w:rPr>
                <w:rFonts w:ascii="Times New Roman" w:hAnsi="Times New Roman"/>
                <w:sz w:val="24"/>
                <w:szCs w:val="24"/>
                <w:lang w:val="en-US"/>
              </w:rPr>
              <w:t xml:space="preserve"> papers (</w:t>
            </w:r>
            <w:r>
              <w:rPr>
                <w:rFonts w:ascii="Times New Roman" w:hAnsi="Times New Roman"/>
                <w:sz w:val="24"/>
                <w:szCs w:val="24"/>
                <w:lang w:val="en-US"/>
              </w:rPr>
              <w:t>2</w:t>
            </w:r>
            <w:r w:rsidRPr="00AC72BF">
              <w:rPr>
                <w:rFonts w:ascii="Times New Roman" w:hAnsi="Times New Roman"/>
                <w:sz w:val="24"/>
                <w:szCs w:val="24"/>
                <w:lang w:val="en-US"/>
              </w:rPr>
              <w:t xml:space="preserve"> D1,  6 Q1, 17 Q2, 5 Q3 and 8 Q4) were assigned to the subfield Toxicology, demonstrating that at CUNI the subfield Pharmac</w:t>
            </w:r>
            <w:r>
              <w:rPr>
                <w:rFonts w:ascii="Times New Roman" w:hAnsi="Times New Roman"/>
                <w:sz w:val="24"/>
                <w:szCs w:val="24"/>
                <w:lang w:val="en-US"/>
              </w:rPr>
              <w:t xml:space="preserve">y </w:t>
            </w:r>
            <w:r w:rsidRPr="00AC72BF">
              <w:rPr>
                <w:rFonts w:ascii="Times New Roman" w:hAnsi="Times New Roman"/>
                <w:sz w:val="24"/>
                <w:szCs w:val="24"/>
                <w:lang w:val="en-US"/>
              </w:rPr>
              <w:t>and Pharmacology is much</w:t>
            </w:r>
            <w:r w:rsidR="00DB3E7D">
              <w:rPr>
                <w:rFonts w:ascii="Times New Roman" w:hAnsi="Times New Roman"/>
                <w:sz w:val="24"/>
                <w:szCs w:val="24"/>
                <w:lang w:val="en-US"/>
              </w:rPr>
              <w:t xml:space="preserve"> more stronlyg </w:t>
            </w:r>
            <w:r w:rsidRPr="00AC72BF">
              <w:rPr>
                <w:rFonts w:ascii="Times New Roman" w:hAnsi="Times New Roman"/>
                <w:sz w:val="24"/>
                <w:szCs w:val="24"/>
                <w:lang w:val="en-US"/>
              </w:rPr>
              <w:t>represented than the subfield Toxicology. The total number of D1, Q1, Q2, Q3 and Q4 publications per faculty can be seen in the table</w:t>
            </w:r>
          </w:p>
          <w:tbl>
            <w:tblPr>
              <w:tblW w:w="7316" w:type="dxa"/>
              <w:tblInd w:w="93" w:type="dxa"/>
              <w:tblLook w:val="04A0" w:firstRow="1" w:lastRow="0" w:firstColumn="1" w:lastColumn="0" w:noHBand="0" w:noVBand="1"/>
            </w:tblPr>
            <w:tblGrid>
              <w:gridCol w:w="510"/>
              <w:gridCol w:w="1056"/>
              <w:gridCol w:w="976"/>
              <w:gridCol w:w="1016"/>
              <w:gridCol w:w="1016"/>
              <w:gridCol w:w="1056"/>
              <w:gridCol w:w="1136"/>
              <w:gridCol w:w="550"/>
            </w:tblGrid>
            <w:tr w:rsidR="00447D4E" w:rsidRPr="00AC72BF" w14:paraId="5F3E79AD" w14:textId="77777777" w:rsidTr="00447D4E">
              <w:trPr>
                <w:trHeight w:val="205"/>
              </w:trPr>
              <w:tc>
                <w:tcPr>
                  <w:tcW w:w="510" w:type="dxa"/>
                  <w:tcBorders>
                    <w:top w:val="single" w:sz="4" w:space="0" w:color="auto"/>
                    <w:left w:val="single" w:sz="4" w:space="0" w:color="auto"/>
                    <w:bottom w:val="single" w:sz="4" w:space="0" w:color="auto"/>
                    <w:right w:val="single" w:sz="4" w:space="0" w:color="auto"/>
                  </w:tcBorders>
                  <w:shd w:val="clear" w:color="auto" w:fill="auto"/>
                  <w:noWrap/>
                  <w:hideMark/>
                </w:tcPr>
                <w:p w14:paraId="7082FBF6"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 </w:t>
                  </w:r>
                </w:p>
              </w:tc>
              <w:tc>
                <w:tcPr>
                  <w:tcW w:w="1056" w:type="dxa"/>
                  <w:tcBorders>
                    <w:top w:val="single" w:sz="4" w:space="0" w:color="auto"/>
                    <w:left w:val="nil"/>
                    <w:bottom w:val="single" w:sz="4" w:space="0" w:color="auto"/>
                    <w:right w:val="single" w:sz="4" w:space="0" w:color="auto"/>
                  </w:tcBorders>
                  <w:shd w:val="clear" w:color="auto" w:fill="auto"/>
                  <w:noWrap/>
                  <w:hideMark/>
                </w:tcPr>
                <w:p w14:paraId="6C091063"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1.LF</w:t>
                  </w:r>
                </w:p>
              </w:tc>
              <w:tc>
                <w:tcPr>
                  <w:tcW w:w="976" w:type="dxa"/>
                  <w:tcBorders>
                    <w:top w:val="single" w:sz="4" w:space="0" w:color="auto"/>
                    <w:left w:val="nil"/>
                    <w:bottom w:val="single" w:sz="4" w:space="0" w:color="auto"/>
                    <w:right w:val="single" w:sz="4" w:space="0" w:color="auto"/>
                  </w:tcBorders>
                  <w:shd w:val="clear" w:color="auto" w:fill="auto"/>
                  <w:noWrap/>
                  <w:hideMark/>
                </w:tcPr>
                <w:p w14:paraId="32C6A844"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2.LF</w:t>
                  </w:r>
                </w:p>
              </w:tc>
              <w:tc>
                <w:tcPr>
                  <w:tcW w:w="1016" w:type="dxa"/>
                  <w:tcBorders>
                    <w:top w:val="single" w:sz="4" w:space="0" w:color="auto"/>
                    <w:left w:val="nil"/>
                    <w:bottom w:val="single" w:sz="4" w:space="0" w:color="auto"/>
                    <w:right w:val="single" w:sz="4" w:space="0" w:color="auto"/>
                  </w:tcBorders>
                  <w:shd w:val="clear" w:color="auto" w:fill="auto"/>
                  <w:noWrap/>
                  <w:hideMark/>
                </w:tcPr>
                <w:p w14:paraId="0A320DC0"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3.LF</w:t>
                  </w:r>
                </w:p>
              </w:tc>
              <w:tc>
                <w:tcPr>
                  <w:tcW w:w="1016" w:type="dxa"/>
                  <w:tcBorders>
                    <w:top w:val="single" w:sz="4" w:space="0" w:color="auto"/>
                    <w:left w:val="nil"/>
                    <w:bottom w:val="single" w:sz="4" w:space="0" w:color="auto"/>
                    <w:right w:val="single" w:sz="4" w:space="0" w:color="auto"/>
                  </w:tcBorders>
                  <w:shd w:val="clear" w:color="auto" w:fill="auto"/>
                  <w:noWrap/>
                  <w:hideMark/>
                </w:tcPr>
                <w:p w14:paraId="3D463872"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LFPI</w:t>
                  </w:r>
                </w:p>
              </w:tc>
              <w:tc>
                <w:tcPr>
                  <w:tcW w:w="1056" w:type="dxa"/>
                  <w:tcBorders>
                    <w:top w:val="single" w:sz="4" w:space="0" w:color="auto"/>
                    <w:left w:val="nil"/>
                    <w:bottom w:val="single" w:sz="4" w:space="0" w:color="auto"/>
                    <w:right w:val="single" w:sz="4" w:space="0" w:color="auto"/>
                  </w:tcBorders>
                  <w:shd w:val="clear" w:color="auto" w:fill="auto"/>
                  <w:noWrap/>
                  <w:hideMark/>
                </w:tcPr>
                <w:p w14:paraId="49F04202"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LFHK</w:t>
                  </w:r>
                </w:p>
              </w:tc>
              <w:tc>
                <w:tcPr>
                  <w:tcW w:w="1136" w:type="dxa"/>
                  <w:tcBorders>
                    <w:top w:val="single" w:sz="4" w:space="0" w:color="auto"/>
                    <w:left w:val="nil"/>
                    <w:bottom w:val="single" w:sz="4" w:space="0" w:color="auto"/>
                    <w:right w:val="single" w:sz="4" w:space="0" w:color="auto"/>
                  </w:tcBorders>
                  <w:shd w:val="clear" w:color="auto" w:fill="auto"/>
                  <w:noWrap/>
                  <w:hideMark/>
                </w:tcPr>
                <w:p w14:paraId="21212357"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FaF</w:t>
                  </w:r>
                </w:p>
              </w:tc>
              <w:tc>
                <w:tcPr>
                  <w:tcW w:w="550" w:type="dxa"/>
                  <w:tcBorders>
                    <w:top w:val="single" w:sz="4" w:space="0" w:color="auto"/>
                    <w:left w:val="nil"/>
                    <w:bottom w:val="single" w:sz="4" w:space="0" w:color="auto"/>
                    <w:right w:val="single" w:sz="4" w:space="0" w:color="auto"/>
                  </w:tcBorders>
                  <w:shd w:val="clear" w:color="auto" w:fill="auto"/>
                  <w:noWrap/>
                  <w:hideMark/>
                </w:tcPr>
                <w:p w14:paraId="0F558791"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 Sum</w:t>
                  </w:r>
                </w:p>
              </w:tc>
            </w:tr>
            <w:tr w:rsidR="00447D4E" w:rsidRPr="00AC72BF" w14:paraId="037E3C0D"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7ACEBDEE"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D1</w:t>
                  </w:r>
                </w:p>
              </w:tc>
              <w:tc>
                <w:tcPr>
                  <w:tcW w:w="1056" w:type="dxa"/>
                  <w:tcBorders>
                    <w:top w:val="nil"/>
                    <w:left w:val="nil"/>
                    <w:bottom w:val="single" w:sz="4" w:space="0" w:color="auto"/>
                    <w:right w:val="single" w:sz="4" w:space="0" w:color="auto"/>
                  </w:tcBorders>
                  <w:shd w:val="clear" w:color="auto" w:fill="auto"/>
                  <w:noWrap/>
                  <w:hideMark/>
                </w:tcPr>
                <w:p w14:paraId="68595CB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(1.1 %</w:t>
                  </w:r>
                </w:p>
              </w:tc>
              <w:tc>
                <w:tcPr>
                  <w:tcW w:w="976" w:type="dxa"/>
                  <w:tcBorders>
                    <w:top w:val="nil"/>
                    <w:left w:val="nil"/>
                    <w:bottom w:val="single" w:sz="4" w:space="0" w:color="auto"/>
                    <w:right w:val="single" w:sz="4" w:space="0" w:color="auto"/>
                  </w:tcBorders>
                  <w:shd w:val="clear" w:color="auto" w:fill="auto"/>
                  <w:noWrap/>
                  <w:hideMark/>
                </w:tcPr>
                <w:p w14:paraId="474742C8"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16" w:type="dxa"/>
                  <w:tcBorders>
                    <w:top w:val="nil"/>
                    <w:left w:val="nil"/>
                    <w:bottom w:val="single" w:sz="4" w:space="0" w:color="auto"/>
                    <w:right w:val="single" w:sz="4" w:space="0" w:color="auto"/>
                  </w:tcBorders>
                  <w:shd w:val="clear" w:color="auto" w:fill="auto"/>
                  <w:noWrap/>
                  <w:hideMark/>
                </w:tcPr>
                <w:p w14:paraId="13D9CC20"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16" w:type="dxa"/>
                  <w:tcBorders>
                    <w:top w:val="nil"/>
                    <w:left w:val="nil"/>
                    <w:bottom w:val="single" w:sz="4" w:space="0" w:color="auto"/>
                    <w:right w:val="single" w:sz="4" w:space="0" w:color="auto"/>
                  </w:tcBorders>
                  <w:shd w:val="clear" w:color="auto" w:fill="auto"/>
                  <w:noWrap/>
                  <w:hideMark/>
                </w:tcPr>
                <w:p w14:paraId="2578967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(6.7 %)</w:t>
                  </w:r>
                </w:p>
              </w:tc>
              <w:tc>
                <w:tcPr>
                  <w:tcW w:w="1056" w:type="dxa"/>
                  <w:tcBorders>
                    <w:top w:val="nil"/>
                    <w:left w:val="nil"/>
                    <w:bottom w:val="single" w:sz="4" w:space="0" w:color="auto"/>
                    <w:right w:val="single" w:sz="4" w:space="0" w:color="auto"/>
                  </w:tcBorders>
                  <w:shd w:val="clear" w:color="auto" w:fill="auto"/>
                  <w:noWrap/>
                  <w:hideMark/>
                </w:tcPr>
                <w:p w14:paraId="1E30CE23"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(1.6 %)</w:t>
                  </w:r>
                </w:p>
              </w:tc>
              <w:tc>
                <w:tcPr>
                  <w:tcW w:w="1136" w:type="dxa"/>
                  <w:tcBorders>
                    <w:top w:val="nil"/>
                    <w:left w:val="nil"/>
                    <w:bottom w:val="single" w:sz="4" w:space="0" w:color="auto"/>
                    <w:right w:val="single" w:sz="4" w:space="0" w:color="auto"/>
                  </w:tcBorders>
                  <w:shd w:val="clear" w:color="auto" w:fill="auto"/>
                  <w:noWrap/>
                  <w:hideMark/>
                </w:tcPr>
                <w:p w14:paraId="5160E111"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12 (3.2 %)</w:t>
                  </w:r>
                </w:p>
              </w:tc>
              <w:tc>
                <w:tcPr>
                  <w:tcW w:w="550" w:type="dxa"/>
                  <w:tcBorders>
                    <w:top w:val="nil"/>
                    <w:left w:val="nil"/>
                    <w:bottom w:val="single" w:sz="4" w:space="0" w:color="auto"/>
                    <w:right w:val="single" w:sz="4" w:space="0" w:color="auto"/>
                  </w:tcBorders>
                  <w:shd w:val="clear" w:color="auto" w:fill="auto"/>
                  <w:noWrap/>
                  <w:hideMark/>
                </w:tcPr>
                <w:p w14:paraId="0CA7268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15</w:t>
                  </w:r>
                </w:p>
              </w:tc>
            </w:tr>
            <w:tr w:rsidR="00447D4E" w:rsidRPr="00AC72BF" w14:paraId="0C3ACAC5"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1CD26FE1"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Q1</w:t>
                  </w:r>
                </w:p>
              </w:tc>
              <w:tc>
                <w:tcPr>
                  <w:tcW w:w="1056" w:type="dxa"/>
                  <w:tcBorders>
                    <w:top w:val="nil"/>
                    <w:left w:val="nil"/>
                    <w:bottom w:val="single" w:sz="4" w:space="0" w:color="auto"/>
                    <w:right w:val="single" w:sz="4" w:space="0" w:color="auto"/>
                  </w:tcBorders>
                  <w:shd w:val="clear" w:color="auto" w:fill="auto"/>
                  <w:noWrap/>
                  <w:hideMark/>
                </w:tcPr>
                <w:p w14:paraId="501AC43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13 (14.8 %)</w:t>
                  </w:r>
                </w:p>
              </w:tc>
              <w:tc>
                <w:tcPr>
                  <w:tcW w:w="976" w:type="dxa"/>
                  <w:tcBorders>
                    <w:top w:val="nil"/>
                    <w:left w:val="nil"/>
                    <w:bottom w:val="single" w:sz="4" w:space="0" w:color="auto"/>
                    <w:right w:val="single" w:sz="4" w:space="0" w:color="auto"/>
                  </w:tcBorders>
                  <w:shd w:val="clear" w:color="auto" w:fill="auto"/>
                  <w:noWrap/>
                  <w:hideMark/>
                </w:tcPr>
                <w:p w14:paraId="2DE60B4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16" w:type="dxa"/>
                  <w:tcBorders>
                    <w:top w:val="nil"/>
                    <w:left w:val="nil"/>
                    <w:bottom w:val="single" w:sz="4" w:space="0" w:color="auto"/>
                    <w:right w:val="single" w:sz="4" w:space="0" w:color="auto"/>
                  </w:tcBorders>
                  <w:shd w:val="clear" w:color="auto" w:fill="auto"/>
                  <w:noWrap/>
                  <w:hideMark/>
                </w:tcPr>
                <w:p w14:paraId="6D4C984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 (16.7 %)</w:t>
                  </w:r>
                </w:p>
              </w:tc>
              <w:tc>
                <w:tcPr>
                  <w:tcW w:w="1016" w:type="dxa"/>
                  <w:tcBorders>
                    <w:top w:val="nil"/>
                    <w:left w:val="nil"/>
                    <w:bottom w:val="single" w:sz="4" w:space="0" w:color="auto"/>
                    <w:right w:val="single" w:sz="4" w:space="0" w:color="auto"/>
                  </w:tcBorders>
                  <w:shd w:val="clear" w:color="auto" w:fill="auto"/>
                  <w:noWrap/>
                  <w:hideMark/>
                </w:tcPr>
                <w:p w14:paraId="2E7BFAE6"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0 (0.0 %)</w:t>
                  </w:r>
                </w:p>
              </w:tc>
              <w:tc>
                <w:tcPr>
                  <w:tcW w:w="1056" w:type="dxa"/>
                  <w:tcBorders>
                    <w:top w:val="nil"/>
                    <w:left w:val="nil"/>
                    <w:bottom w:val="single" w:sz="4" w:space="0" w:color="auto"/>
                    <w:right w:val="single" w:sz="4" w:space="0" w:color="auto"/>
                  </w:tcBorders>
                  <w:shd w:val="clear" w:color="auto" w:fill="auto"/>
                  <w:noWrap/>
                  <w:hideMark/>
                </w:tcPr>
                <w:p w14:paraId="6555081E"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12 (19.3 %)</w:t>
                  </w:r>
                </w:p>
              </w:tc>
              <w:tc>
                <w:tcPr>
                  <w:tcW w:w="1136" w:type="dxa"/>
                  <w:tcBorders>
                    <w:top w:val="nil"/>
                    <w:left w:val="nil"/>
                    <w:bottom w:val="single" w:sz="4" w:space="0" w:color="auto"/>
                    <w:right w:val="single" w:sz="4" w:space="0" w:color="auto"/>
                  </w:tcBorders>
                  <w:shd w:val="clear" w:color="auto" w:fill="auto"/>
                  <w:noWrap/>
                  <w:hideMark/>
                </w:tcPr>
                <w:p w14:paraId="0A255A71"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50 (13.2 %)</w:t>
                  </w:r>
                </w:p>
              </w:tc>
              <w:tc>
                <w:tcPr>
                  <w:tcW w:w="550" w:type="dxa"/>
                  <w:tcBorders>
                    <w:top w:val="nil"/>
                    <w:left w:val="nil"/>
                    <w:bottom w:val="single" w:sz="4" w:space="0" w:color="auto"/>
                    <w:right w:val="single" w:sz="4" w:space="0" w:color="auto"/>
                  </w:tcBorders>
                  <w:shd w:val="clear" w:color="auto" w:fill="auto"/>
                  <w:noWrap/>
                  <w:hideMark/>
                </w:tcPr>
                <w:p w14:paraId="560B57F9"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78</w:t>
                  </w:r>
                </w:p>
              </w:tc>
            </w:tr>
            <w:tr w:rsidR="00447D4E" w:rsidRPr="00AC72BF" w14:paraId="6D4D5C65"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46819CD7"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Q2</w:t>
                  </w:r>
                </w:p>
              </w:tc>
              <w:tc>
                <w:tcPr>
                  <w:tcW w:w="1056" w:type="dxa"/>
                  <w:tcBorders>
                    <w:top w:val="nil"/>
                    <w:left w:val="nil"/>
                    <w:bottom w:val="single" w:sz="4" w:space="0" w:color="auto"/>
                    <w:right w:val="single" w:sz="4" w:space="0" w:color="auto"/>
                  </w:tcBorders>
                  <w:shd w:val="clear" w:color="auto" w:fill="auto"/>
                  <w:noWrap/>
                  <w:hideMark/>
                </w:tcPr>
                <w:p w14:paraId="756AC390"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26 (29.5 %)</w:t>
                  </w:r>
                </w:p>
              </w:tc>
              <w:tc>
                <w:tcPr>
                  <w:tcW w:w="976" w:type="dxa"/>
                  <w:tcBorders>
                    <w:top w:val="nil"/>
                    <w:left w:val="nil"/>
                    <w:bottom w:val="single" w:sz="4" w:space="0" w:color="auto"/>
                    <w:right w:val="single" w:sz="4" w:space="0" w:color="auto"/>
                  </w:tcBorders>
                  <w:shd w:val="clear" w:color="auto" w:fill="auto"/>
                  <w:noWrap/>
                  <w:hideMark/>
                </w:tcPr>
                <w:p w14:paraId="1BDD54E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5 (62.5 %)</w:t>
                  </w:r>
                </w:p>
              </w:tc>
              <w:tc>
                <w:tcPr>
                  <w:tcW w:w="1016" w:type="dxa"/>
                  <w:tcBorders>
                    <w:top w:val="nil"/>
                    <w:left w:val="nil"/>
                    <w:bottom w:val="single" w:sz="4" w:space="0" w:color="auto"/>
                    <w:right w:val="single" w:sz="4" w:space="0" w:color="auto"/>
                  </w:tcBorders>
                  <w:shd w:val="clear" w:color="auto" w:fill="auto"/>
                  <w:noWrap/>
                  <w:hideMark/>
                </w:tcPr>
                <w:p w14:paraId="150E5FC2"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9 (50.0 %)</w:t>
                  </w:r>
                </w:p>
              </w:tc>
              <w:tc>
                <w:tcPr>
                  <w:tcW w:w="1016" w:type="dxa"/>
                  <w:tcBorders>
                    <w:top w:val="nil"/>
                    <w:left w:val="nil"/>
                    <w:bottom w:val="single" w:sz="4" w:space="0" w:color="auto"/>
                    <w:right w:val="single" w:sz="4" w:space="0" w:color="auto"/>
                  </w:tcBorders>
                  <w:shd w:val="clear" w:color="auto" w:fill="auto"/>
                  <w:noWrap/>
                  <w:hideMark/>
                </w:tcPr>
                <w:p w14:paraId="637C6067"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 (20.0 %)</w:t>
                  </w:r>
                </w:p>
              </w:tc>
              <w:tc>
                <w:tcPr>
                  <w:tcW w:w="1056" w:type="dxa"/>
                  <w:tcBorders>
                    <w:top w:val="nil"/>
                    <w:left w:val="nil"/>
                    <w:bottom w:val="single" w:sz="4" w:space="0" w:color="auto"/>
                    <w:right w:val="single" w:sz="4" w:space="0" w:color="auto"/>
                  </w:tcBorders>
                  <w:shd w:val="clear" w:color="auto" w:fill="auto"/>
                  <w:noWrap/>
                  <w:hideMark/>
                </w:tcPr>
                <w:p w14:paraId="358B41D6"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22 (35.4 %)</w:t>
                  </w:r>
                </w:p>
              </w:tc>
              <w:tc>
                <w:tcPr>
                  <w:tcW w:w="1136" w:type="dxa"/>
                  <w:tcBorders>
                    <w:top w:val="nil"/>
                    <w:left w:val="nil"/>
                    <w:bottom w:val="single" w:sz="4" w:space="0" w:color="auto"/>
                    <w:right w:val="single" w:sz="4" w:space="0" w:color="auto"/>
                  </w:tcBorders>
                  <w:shd w:val="clear" w:color="auto" w:fill="auto"/>
                  <w:noWrap/>
                  <w:hideMark/>
                </w:tcPr>
                <w:p w14:paraId="3A69703B"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130 (34.4 %)</w:t>
                  </w:r>
                </w:p>
              </w:tc>
              <w:tc>
                <w:tcPr>
                  <w:tcW w:w="550" w:type="dxa"/>
                  <w:tcBorders>
                    <w:top w:val="nil"/>
                    <w:left w:val="nil"/>
                    <w:bottom w:val="single" w:sz="4" w:space="0" w:color="auto"/>
                    <w:right w:val="single" w:sz="4" w:space="0" w:color="auto"/>
                  </w:tcBorders>
                  <w:shd w:val="clear" w:color="auto" w:fill="auto"/>
                  <w:noWrap/>
                  <w:hideMark/>
                </w:tcPr>
                <w:p w14:paraId="7A0357D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195</w:t>
                  </w:r>
                </w:p>
              </w:tc>
            </w:tr>
            <w:tr w:rsidR="00447D4E" w:rsidRPr="00AC72BF" w14:paraId="68B580B2"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4BDE7C9C"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Q3</w:t>
                  </w:r>
                </w:p>
              </w:tc>
              <w:tc>
                <w:tcPr>
                  <w:tcW w:w="1056" w:type="dxa"/>
                  <w:tcBorders>
                    <w:top w:val="nil"/>
                    <w:left w:val="nil"/>
                    <w:bottom w:val="single" w:sz="4" w:space="0" w:color="auto"/>
                    <w:right w:val="single" w:sz="4" w:space="0" w:color="auto"/>
                  </w:tcBorders>
                  <w:shd w:val="clear" w:color="auto" w:fill="auto"/>
                  <w:noWrap/>
                  <w:hideMark/>
                </w:tcPr>
                <w:p w14:paraId="315F587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25 (28.4 %)</w:t>
                  </w:r>
                </w:p>
              </w:tc>
              <w:tc>
                <w:tcPr>
                  <w:tcW w:w="976" w:type="dxa"/>
                  <w:tcBorders>
                    <w:top w:val="nil"/>
                    <w:left w:val="nil"/>
                    <w:bottom w:val="single" w:sz="4" w:space="0" w:color="auto"/>
                    <w:right w:val="single" w:sz="4" w:space="0" w:color="auto"/>
                  </w:tcBorders>
                  <w:shd w:val="clear" w:color="auto" w:fill="auto"/>
                  <w:noWrap/>
                  <w:hideMark/>
                </w:tcPr>
                <w:p w14:paraId="31D2C23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 (25.0 %)</w:t>
                  </w:r>
                </w:p>
              </w:tc>
              <w:tc>
                <w:tcPr>
                  <w:tcW w:w="1016" w:type="dxa"/>
                  <w:tcBorders>
                    <w:top w:val="nil"/>
                    <w:left w:val="nil"/>
                    <w:bottom w:val="single" w:sz="4" w:space="0" w:color="auto"/>
                    <w:right w:val="single" w:sz="4" w:space="0" w:color="auto"/>
                  </w:tcBorders>
                  <w:shd w:val="clear" w:color="auto" w:fill="auto"/>
                  <w:noWrap/>
                  <w:hideMark/>
                </w:tcPr>
                <w:p w14:paraId="7D71E67C"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 (11.1 %)</w:t>
                  </w:r>
                </w:p>
              </w:tc>
              <w:tc>
                <w:tcPr>
                  <w:tcW w:w="1016" w:type="dxa"/>
                  <w:tcBorders>
                    <w:top w:val="nil"/>
                    <w:left w:val="nil"/>
                    <w:bottom w:val="single" w:sz="4" w:space="0" w:color="auto"/>
                    <w:right w:val="single" w:sz="4" w:space="0" w:color="auto"/>
                  </w:tcBorders>
                  <w:shd w:val="clear" w:color="auto" w:fill="auto"/>
                  <w:noWrap/>
                  <w:hideMark/>
                </w:tcPr>
                <w:p w14:paraId="15A424D3"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7 (46.7 %)</w:t>
                  </w:r>
                </w:p>
              </w:tc>
              <w:tc>
                <w:tcPr>
                  <w:tcW w:w="1056" w:type="dxa"/>
                  <w:tcBorders>
                    <w:top w:val="nil"/>
                    <w:left w:val="nil"/>
                    <w:bottom w:val="single" w:sz="4" w:space="0" w:color="auto"/>
                    <w:right w:val="single" w:sz="4" w:space="0" w:color="auto"/>
                  </w:tcBorders>
                  <w:shd w:val="clear" w:color="auto" w:fill="auto"/>
                  <w:noWrap/>
                  <w:hideMark/>
                </w:tcPr>
                <w:p w14:paraId="55257D3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11 (17.7 %)</w:t>
                  </w:r>
                </w:p>
              </w:tc>
              <w:tc>
                <w:tcPr>
                  <w:tcW w:w="1136" w:type="dxa"/>
                  <w:tcBorders>
                    <w:top w:val="nil"/>
                    <w:left w:val="nil"/>
                    <w:bottom w:val="single" w:sz="4" w:space="0" w:color="auto"/>
                    <w:right w:val="single" w:sz="4" w:space="0" w:color="auto"/>
                  </w:tcBorders>
                  <w:shd w:val="clear" w:color="auto" w:fill="auto"/>
                  <w:noWrap/>
                  <w:hideMark/>
                </w:tcPr>
                <w:p w14:paraId="1A4129D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104 (27.5 %)</w:t>
                  </w:r>
                </w:p>
              </w:tc>
              <w:tc>
                <w:tcPr>
                  <w:tcW w:w="550" w:type="dxa"/>
                  <w:tcBorders>
                    <w:top w:val="nil"/>
                    <w:left w:val="nil"/>
                    <w:bottom w:val="single" w:sz="4" w:space="0" w:color="auto"/>
                    <w:right w:val="single" w:sz="4" w:space="0" w:color="auto"/>
                  </w:tcBorders>
                  <w:shd w:val="clear" w:color="auto" w:fill="auto"/>
                  <w:noWrap/>
                  <w:hideMark/>
                </w:tcPr>
                <w:p w14:paraId="50EE801C"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151</w:t>
                  </w:r>
                </w:p>
              </w:tc>
            </w:tr>
            <w:tr w:rsidR="00447D4E" w:rsidRPr="00AC72BF" w14:paraId="24A3BE3A"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1617144B"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Q4</w:t>
                  </w:r>
                </w:p>
              </w:tc>
              <w:tc>
                <w:tcPr>
                  <w:tcW w:w="1056" w:type="dxa"/>
                  <w:tcBorders>
                    <w:top w:val="nil"/>
                    <w:left w:val="nil"/>
                    <w:bottom w:val="single" w:sz="4" w:space="0" w:color="auto"/>
                    <w:right w:val="single" w:sz="4" w:space="0" w:color="auto"/>
                  </w:tcBorders>
                  <w:shd w:val="clear" w:color="auto" w:fill="auto"/>
                  <w:noWrap/>
                  <w:hideMark/>
                </w:tcPr>
                <w:p w14:paraId="0E723CBE"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23 (26.1 %)</w:t>
                  </w:r>
                </w:p>
              </w:tc>
              <w:tc>
                <w:tcPr>
                  <w:tcW w:w="976" w:type="dxa"/>
                  <w:tcBorders>
                    <w:top w:val="nil"/>
                    <w:left w:val="nil"/>
                    <w:bottom w:val="single" w:sz="4" w:space="0" w:color="auto"/>
                    <w:right w:val="single" w:sz="4" w:space="0" w:color="auto"/>
                  </w:tcBorders>
                  <w:shd w:val="clear" w:color="auto" w:fill="auto"/>
                  <w:noWrap/>
                  <w:hideMark/>
                </w:tcPr>
                <w:p w14:paraId="4F91010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 (12.5 %)</w:t>
                  </w:r>
                </w:p>
              </w:tc>
              <w:tc>
                <w:tcPr>
                  <w:tcW w:w="1016" w:type="dxa"/>
                  <w:tcBorders>
                    <w:top w:val="nil"/>
                    <w:left w:val="nil"/>
                    <w:bottom w:val="single" w:sz="4" w:space="0" w:color="auto"/>
                    <w:right w:val="single" w:sz="4" w:space="0" w:color="auto"/>
                  </w:tcBorders>
                  <w:shd w:val="clear" w:color="auto" w:fill="auto"/>
                  <w:noWrap/>
                  <w:hideMark/>
                </w:tcPr>
                <w:p w14:paraId="08E1C96F"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4 (22.2 %)</w:t>
                  </w:r>
                </w:p>
              </w:tc>
              <w:tc>
                <w:tcPr>
                  <w:tcW w:w="1016" w:type="dxa"/>
                  <w:tcBorders>
                    <w:top w:val="nil"/>
                    <w:left w:val="nil"/>
                    <w:bottom w:val="single" w:sz="4" w:space="0" w:color="auto"/>
                    <w:right w:val="single" w:sz="4" w:space="0" w:color="auto"/>
                  </w:tcBorders>
                  <w:shd w:val="clear" w:color="auto" w:fill="auto"/>
                  <w:noWrap/>
                  <w:hideMark/>
                </w:tcPr>
                <w:p w14:paraId="58F950E9"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4 (26.7 %)</w:t>
                  </w:r>
                </w:p>
              </w:tc>
              <w:tc>
                <w:tcPr>
                  <w:tcW w:w="1056" w:type="dxa"/>
                  <w:tcBorders>
                    <w:top w:val="nil"/>
                    <w:left w:val="nil"/>
                    <w:bottom w:val="single" w:sz="4" w:space="0" w:color="auto"/>
                    <w:right w:val="single" w:sz="4" w:space="0" w:color="auto"/>
                  </w:tcBorders>
                  <w:shd w:val="clear" w:color="auto" w:fill="auto"/>
                  <w:noWrap/>
                  <w:hideMark/>
                </w:tcPr>
                <w:p w14:paraId="6FA1CD37"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16 (25.8 %)</w:t>
                  </w:r>
                </w:p>
              </w:tc>
              <w:tc>
                <w:tcPr>
                  <w:tcW w:w="1136" w:type="dxa"/>
                  <w:tcBorders>
                    <w:top w:val="nil"/>
                    <w:left w:val="nil"/>
                    <w:bottom w:val="single" w:sz="4" w:space="0" w:color="auto"/>
                    <w:right w:val="single" w:sz="4" w:space="0" w:color="auto"/>
                  </w:tcBorders>
                  <w:shd w:val="clear" w:color="auto" w:fill="auto"/>
                  <w:noWrap/>
                  <w:hideMark/>
                </w:tcPr>
                <w:p w14:paraId="2D4A9744"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82 (21.7 %)</w:t>
                  </w:r>
                </w:p>
              </w:tc>
              <w:tc>
                <w:tcPr>
                  <w:tcW w:w="550" w:type="dxa"/>
                  <w:tcBorders>
                    <w:top w:val="nil"/>
                    <w:left w:val="nil"/>
                    <w:bottom w:val="single" w:sz="4" w:space="0" w:color="auto"/>
                    <w:right w:val="single" w:sz="4" w:space="0" w:color="auto"/>
                  </w:tcBorders>
                  <w:shd w:val="clear" w:color="auto" w:fill="auto"/>
                  <w:noWrap/>
                  <w:hideMark/>
                </w:tcPr>
                <w:p w14:paraId="2199CEEA"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130</w:t>
                  </w:r>
                </w:p>
              </w:tc>
            </w:tr>
            <w:tr w:rsidR="00447D4E" w:rsidRPr="00AC72BF" w14:paraId="229A61FF" w14:textId="77777777" w:rsidTr="00447D4E">
              <w:trPr>
                <w:trHeight w:val="205"/>
              </w:trPr>
              <w:tc>
                <w:tcPr>
                  <w:tcW w:w="510" w:type="dxa"/>
                  <w:tcBorders>
                    <w:top w:val="nil"/>
                    <w:left w:val="single" w:sz="4" w:space="0" w:color="auto"/>
                    <w:bottom w:val="single" w:sz="4" w:space="0" w:color="auto"/>
                    <w:right w:val="single" w:sz="4" w:space="0" w:color="auto"/>
                  </w:tcBorders>
                  <w:shd w:val="clear" w:color="auto" w:fill="auto"/>
                  <w:noWrap/>
                  <w:hideMark/>
                </w:tcPr>
                <w:p w14:paraId="38C57B08" w14:textId="77777777" w:rsidR="00447D4E" w:rsidRPr="00AC72BF" w:rsidRDefault="00447D4E" w:rsidP="00447D4E">
                  <w:pPr>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Sum</w:t>
                  </w:r>
                </w:p>
              </w:tc>
              <w:tc>
                <w:tcPr>
                  <w:tcW w:w="1056" w:type="dxa"/>
                  <w:tcBorders>
                    <w:top w:val="nil"/>
                    <w:left w:val="nil"/>
                    <w:bottom w:val="single" w:sz="4" w:space="0" w:color="auto"/>
                    <w:right w:val="single" w:sz="4" w:space="0" w:color="auto"/>
                  </w:tcBorders>
                  <w:shd w:val="clear" w:color="auto" w:fill="auto"/>
                  <w:noWrap/>
                  <w:hideMark/>
                </w:tcPr>
                <w:p w14:paraId="0B0DB215"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88 (100 %)</w:t>
                  </w:r>
                </w:p>
              </w:tc>
              <w:tc>
                <w:tcPr>
                  <w:tcW w:w="976" w:type="dxa"/>
                  <w:tcBorders>
                    <w:top w:val="nil"/>
                    <w:left w:val="nil"/>
                    <w:bottom w:val="single" w:sz="4" w:space="0" w:color="auto"/>
                    <w:right w:val="single" w:sz="4" w:space="0" w:color="auto"/>
                  </w:tcBorders>
                  <w:shd w:val="clear" w:color="auto" w:fill="auto"/>
                  <w:noWrap/>
                  <w:hideMark/>
                </w:tcPr>
                <w:p w14:paraId="277590BE"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8 (100 %)</w:t>
                  </w:r>
                </w:p>
              </w:tc>
              <w:tc>
                <w:tcPr>
                  <w:tcW w:w="1016" w:type="dxa"/>
                  <w:tcBorders>
                    <w:top w:val="nil"/>
                    <w:left w:val="nil"/>
                    <w:bottom w:val="single" w:sz="4" w:space="0" w:color="auto"/>
                    <w:right w:val="single" w:sz="4" w:space="0" w:color="auto"/>
                  </w:tcBorders>
                  <w:shd w:val="clear" w:color="auto" w:fill="auto"/>
                  <w:noWrap/>
                  <w:hideMark/>
                </w:tcPr>
                <w:p w14:paraId="643E9CF1"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18 (100 %)</w:t>
                  </w:r>
                </w:p>
              </w:tc>
              <w:tc>
                <w:tcPr>
                  <w:tcW w:w="1016" w:type="dxa"/>
                  <w:tcBorders>
                    <w:top w:val="nil"/>
                    <w:left w:val="nil"/>
                    <w:bottom w:val="single" w:sz="4" w:space="0" w:color="auto"/>
                    <w:right w:val="single" w:sz="4" w:space="0" w:color="auto"/>
                  </w:tcBorders>
                  <w:shd w:val="clear" w:color="auto" w:fill="auto"/>
                  <w:noWrap/>
                  <w:hideMark/>
                </w:tcPr>
                <w:p w14:paraId="5117B42C"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15 (100 %)</w:t>
                  </w:r>
                </w:p>
              </w:tc>
              <w:tc>
                <w:tcPr>
                  <w:tcW w:w="1056" w:type="dxa"/>
                  <w:tcBorders>
                    <w:top w:val="nil"/>
                    <w:left w:val="nil"/>
                    <w:bottom w:val="single" w:sz="4" w:space="0" w:color="auto"/>
                    <w:right w:val="single" w:sz="4" w:space="0" w:color="auto"/>
                  </w:tcBorders>
                  <w:shd w:val="clear" w:color="auto" w:fill="auto"/>
                  <w:noWrap/>
                  <w:hideMark/>
                </w:tcPr>
                <w:p w14:paraId="1567E809"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62 (100 %</w:t>
                  </w:r>
                </w:p>
              </w:tc>
              <w:tc>
                <w:tcPr>
                  <w:tcW w:w="1136" w:type="dxa"/>
                  <w:tcBorders>
                    <w:top w:val="nil"/>
                    <w:left w:val="nil"/>
                    <w:bottom w:val="single" w:sz="4" w:space="0" w:color="auto"/>
                    <w:right w:val="single" w:sz="4" w:space="0" w:color="auto"/>
                  </w:tcBorders>
                  <w:shd w:val="clear" w:color="auto" w:fill="auto"/>
                  <w:noWrap/>
                  <w:hideMark/>
                </w:tcPr>
                <w:p w14:paraId="4E3D51E6" w14:textId="77777777" w:rsidR="00447D4E" w:rsidRPr="00AC72BF" w:rsidRDefault="00447D4E" w:rsidP="00447D4E">
                  <w:pPr>
                    <w:jc w:val="right"/>
                    <w:rPr>
                      <w:rFonts w:ascii="Times New Roman" w:eastAsia="Times New Roman" w:hAnsi="Times New Roman"/>
                      <w:color w:val="000000"/>
                      <w:sz w:val="24"/>
                      <w:szCs w:val="24"/>
                      <w:vertAlign w:val="subscript"/>
                      <w:lang w:val="en-US"/>
                    </w:rPr>
                  </w:pPr>
                  <w:r w:rsidRPr="00AC72BF">
                    <w:rPr>
                      <w:rFonts w:ascii="Times New Roman" w:eastAsia="Times New Roman" w:hAnsi="Times New Roman"/>
                      <w:color w:val="000000"/>
                      <w:sz w:val="24"/>
                      <w:szCs w:val="24"/>
                      <w:vertAlign w:val="subscript"/>
                      <w:lang w:val="en-US"/>
                    </w:rPr>
                    <w:t>378 (100 %)</w:t>
                  </w:r>
                </w:p>
              </w:tc>
              <w:tc>
                <w:tcPr>
                  <w:tcW w:w="550" w:type="dxa"/>
                  <w:tcBorders>
                    <w:top w:val="nil"/>
                    <w:left w:val="nil"/>
                    <w:bottom w:val="single" w:sz="4" w:space="0" w:color="auto"/>
                    <w:right w:val="single" w:sz="4" w:space="0" w:color="auto"/>
                  </w:tcBorders>
                  <w:shd w:val="clear" w:color="auto" w:fill="auto"/>
                  <w:noWrap/>
                  <w:hideMark/>
                </w:tcPr>
                <w:p w14:paraId="217BB9FA" w14:textId="77777777" w:rsidR="00447D4E" w:rsidRPr="00AC72BF" w:rsidRDefault="00447D4E" w:rsidP="00447D4E">
                  <w:pPr>
                    <w:jc w:val="right"/>
                    <w:rPr>
                      <w:rFonts w:ascii="Times New Roman" w:eastAsia="Times New Roman" w:hAnsi="Times New Roman"/>
                      <w:color w:val="FF0000"/>
                      <w:sz w:val="24"/>
                      <w:szCs w:val="24"/>
                      <w:vertAlign w:val="subscript"/>
                      <w:lang w:val="en-US"/>
                    </w:rPr>
                  </w:pPr>
                  <w:r w:rsidRPr="00AC72BF">
                    <w:rPr>
                      <w:rFonts w:ascii="Times New Roman" w:eastAsia="Times New Roman" w:hAnsi="Times New Roman"/>
                      <w:color w:val="FF0000"/>
                      <w:sz w:val="24"/>
                      <w:szCs w:val="24"/>
                      <w:vertAlign w:val="subscript"/>
                      <w:lang w:val="en-US"/>
                    </w:rPr>
                    <w:t>569</w:t>
                  </w:r>
                </w:p>
              </w:tc>
            </w:tr>
          </w:tbl>
          <w:p w14:paraId="17AE33A1" w14:textId="77777777" w:rsidR="00447D4E" w:rsidRPr="00AC72BF" w:rsidRDefault="00447D4E" w:rsidP="00447D4E">
            <w:pPr>
              <w:rPr>
                <w:rFonts w:ascii="Times New Roman" w:hAnsi="Times New Roman"/>
                <w:b/>
                <w:sz w:val="24"/>
                <w:szCs w:val="24"/>
                <w:u w:val="thick"/>
                <w:lang w:val="en-US"/>
              </w:rPr>
            </w:pPr>
          </w:p>
          <w:p w14:paraId="3003BF63" w14:textId="0391BCEC" w:rsidR="00447D4E" w:rsidRDefault="00447D4E" w:rsidP="00447D4E">
            <w:pPr>
              <w:rPr>
                <w:rFonts w:ascii="Times New Roman" w:hAnsi="Times New Roman"/>
                <w:sz w:val="24"/>
                <w:szCs w:val="24"/>
                <w:lang w:val="en-US"/>
              </w:rPr>
            </w:pPr>
            <w:r>
              <w:rPr>
                <w:rFonts w:ascii="Times New Roman" w:hAnsi="Times New Roman"/>
                <w:sz w:val="24"/>
                <w:szCs w:val="24"/>
                <w:lang w:val="en-US"/>
              </w:rPr>
              <w:t>Among CUNI faculties</w:t>
            </w:r>
            <w:r w:rsidR="00DB3E7D">
              <w:rPr>
                <w:rFonts w:ascii="Times New Roman" w:hAnsi="Times New Roman"/>
                <w:sz w:val="24"/>
                <w:szCs w:val="24"/>
                <w:lang w:val="en-US"/>
              </w:rPr>
              <w:t>, the</w:t>
            </w:r>
            <w:r>
              <w:rPr>
                <w:rFonts w:ascii="Times New Roman" w:hAnsi="Times New Roman"/>
                <w:sz w:val="24"/>
                <w:szCs w:val="24"/>
                <w:lang w:val="en-US"/>
              </w:rPr>
              <w:t xml:space="preserve">highest number of top half publications in Pharmacy, Pharmacology and Toxicology in the period 2014-2018 were produced by FaF (12 D1 papers, 3.2% of total FaF publications; 50 Q1 papers, 13.2% of total FaF publications; 130 Q2 papers,  34.4% of total FaF publications). LFHK </w:t>
            </w:r>
            <w:r w:rsidR="00DB3E7D">
              <w:rPr>
                <w:rFonts w:ascii="Times New Roman" w:hAnsi="Times New Roman"/>
                <w:sz w:val="24"/>
                <w:szCs w:val="24"/>
                <w:lang w:val="en-US"/>
              </w:rPr>
              <w:t>was second in productivity in high ranking journals over the last four years</w:t>
            </w:r>
            <w:r>
              <w:rPr>
                <w:rFonts w:ascii="Times New Roman" w:hAnsi="Times New Roman"/>
                <w:sz w:val="24"/>
                <w:szCs w:val="24"/>
                <w:lang w:val="en-US"/>
              </w:rPr>
              <w:t>(1 D1 paper, 12 Q1 papers, 22 Q2 papers). Clearly, FaF</w:t>
            </w:r>
            <w:r w:rsidR="00223FAA">
              <w:rPr>
                <w:rFonts w:ascii="Times New Roman" w:hAnsi="Times New Roman"/>
                <w:sz w:val="24"/>
                <w:szCs w:val="24"/>
                <w:lang w:val="en-US"/>
              </w:rPr>
              <w:t xml:space="preserve"> is a flagship institution at CUNI</w:t>
            </w:r>
            <w:r w:rsidR="00ED1FC9">
              <w:rPr>
                <w:rFonts w:ascii="Times New Roman" w:hAnsi="Times New Roman"/>
                <w:sz w:val="24"/>
                <w:szCs w:val="24"/>
                <w:lang w:val="en-US"/>
              </w:rPr>
              <w:t xml:space="preserve"> for Pharmacy, Pharmacology and Toxicology</w:t>
            </w:r>
            <w:r w:rsidR="00223FAA">
              <w:rPr>
                <w:rFonts w:ascii="Times New Roman" w:hAnsi="Times New Roman"/>
                <w:sz w:val="24"/>
                <w:szCs w:val="24"/>
                <w:lang w:val="en-US"/>
              </w:rPr>
              <w:t>, followed at a distance by</w:t>
            </w:r>
            <w:r>
              <w:rPr>
                <w:rFonts w:ascii="Times New Roman" w:hAnsi="Times New Roman"/>
                <w:sz w:val="24"/>
                <w:szCs w:val="24"/>
                <w:lang w:val="en-US"/>
              </w:rPr>
              <w:t xml:space="preserve"> LFHK</w:t>
            </w:r>
            <w:r w:rsidR="00223FAA">
              <w:rPr>
                <w:rFonts w:ascii="Times New Roman" w:hAnsi="Times New Roman"/>
                <w:sz w:val="24"/>
                <w:szCs w:val="24"/>
                <w:lang w:val="en-US"/>
              </w:rPr>
              <w:t xml:space="preserve">.  </w:t>
            </w:r>
            <w:r>
              <w:rPr>
                <w:rFonts w:ascii="Times New Roman" w:hAnsi="Times New Roman"/>
                <w:sz w:val="24"/>
                <w:szCs w:val="24"/>
                <w:lang w:val="en-US"/>
              </w:rPr>
              <w:t xml:space="preserve">1.LF is a flagship institution at CUNI in Pharmacy and Pharmacology. However, in Toxicology alone the 1.LF is a flagship faculty with 1 D1 paper,  5 Q1 papers, 8 Q2 papers,  5 Q3 papers and 4 Q4 papers </w:t>
            </w:r>
            <w:r>
              <w:rPr>
                <w:rFonts w:ascii="Times New Roman" w:hAnsi="Times New Roman"/>
                <w:sz w:val="24"/>
                <w:szCs w:val="24"/>
                <w:lang w:val="en-US"/>
              </w:rPr>
              <w:lastRenderedPageBreak/>
              <w:t xml:space="preserve">published in the 2014-2018 period. </w:t>
            </w:r>
            <w:r w:rsidR="00223FAA">
              <w:rPr>
                <w:rFonts w:ascii="Times New Roman" w:hAnsi="Times New Roman"/>
                <w:sz w:val="24"/>
                <w:szCs w:val="24"/>
                <w:lang w:val="en-US"/>
              </w:rPr>
              <w:t>The</w:t>
            </w:r>
            <w:r>
              <w:rPr>
                <w:rFonts w:ascii="Times New Roman" w:hAnsi="Times New Roman"/>
                <w:sz w:val="24"/>
                <w:szCs w:val="24"/>
                <w:lang w:val="en-US"/>
              </w:rPr>
              <w:t xml:space="preserve">Department of Microbiology and Biomedical Centre at the Faculty of </w:t>
            </w:r>
            <w:r w:rsidR="00223FAA">
              <w:rPr>
                <w:rFonts w:ascii="Times New Roman" w:hAnsi="Times New Roman"/>
                <w:sz w:val="24"/>
                <w:szCs w:val="24"/>
                <w:lang w:val="en-US"/>
              </w:rPr>
              <w:t>M</w:t>
            </w:r>
            <w:r>
              <w:rPr>
                <w:rFonts w:ascii="Times New Roman" w:hAnsi="Times New Roman"/>
                <w:sz w:val="24"/>
                <w:szCs w:val="24"/>
                <w:lang w:val="en-US"/>
              </w:rPr>
              <w:t>edicine in Plzen (LFPI)</w:t>
            </w:r>
            <w:r w:rsidR="00223FAA">
              <w:rPr>
                <w:rFonts w:ascii="Times New Roman" w:hAnsi="Times New Roman"/>
                <w:sz w:val="24"/>
                <w:szCs w:val="24"/>
                <w:lang w:val="en-US"/>
              </w:rPr>
              <w:t xml:space="preserve"> is a leader in the pharmacology of antimicrobial drugs.</w:t>
            </w:r>
          </w:p>
          <w:p w14:paraId="1AD1F908" w14:textId="02552979" w:rsidR="00447D4E" w:rsidRPr="000741A2" w:rsidRDefault="00447D4E" w:rsidP="00447D4E">
            <w:pPr>
              <w:spacing w:after="120" w:line="240" w:lineRule="auto"/>
              <w:ind w:left="49"/>
              <w:rPr>
                <w:rFonts w:ascii="Times New Roman" w:eastAsia="Times New Roman" w:hAnsi="Times New Roman"/>
                <w:sz w:val="24"/>
                <w:szCs w:val="24"/>
                <w:lang w:val="en-US"/>
              </w:rPr>
            </w:pPr>
            <w:r w:rsidRPr="000741A2">
              <w:rPr>
                <w:rFonts w:ascii="Times New Roman" w:hAnsi="Times New Roman"/>
                <w:sz w:val="24"/>
                <w:szCs w:val="24"/>
                <w:lang w:val="en-US"/>
              </w:rPr>
              <w:t xml:space="preserve">According to number of D1 papers in 4 years period </w:t>
            </w:r>
            <w:r w:rsidRPr="00ED1FC9">
              <w:rPr>
                <w:rFonts w:ascii="Times New Roman" w:hAnsi="Times New Roman"/>
                <w:sz w:val="24"/>
                <w:szCs w:val="24"/>
                <w:lang w:val="en-US"/>
              </w:rPr>
              <w:t>Constantinos Papagiannitsis</w:t>
            </w:r>
            <w:r w:rsidRPr="000741A2">
              <w:rPr>
                <w:rFonts w:ascii="Times New Roman" w:hAnsi="Times New Roman"/>
                <w:b/>
                <w:sz w:val="24"/>
                <w:szCs w:val="24"/>
                <w:lang w:val="en-US"/>
              </w:rPr>
              <w:t xml:space="preserve"> </w:t>
            </w:r>
            <w:r w:rsidRPr="000741A2">
              <w:rPr>
                <w:rFonts w:ascii="Times New Roman" w:hAnsi="Times New Roman"/>
                <w:sz w:val="24"/>
                <w:szCs w:val="24"/>
                <w:lang w:val="en-US"/>
              </w:rPr>
              <w:t>(</w:t>
            </w:r>
            <w:r w:rsidR="004F44C2">
              <w:rPr>
                <w:rFonts w:ascii="Times New Roman" w:hAnsi="Times New Roman"/>
                <w:sz w:val="24"/>
                <w:szCs w:val="24"/>
                <w:lang w:val="en-US"/>
              </w:rPr>
              <w:t>H-index</w:t>
            </w:r>
            <w:r w:rsidRPr="000741A2">
              <w:rPr>
                <w:rFonts w:ascii="Times New Roman" w:hAnsi="Times New Roman"/>
                <w:sz w:val="24"/>
                <w:szCs w:val="24"/>
                <w:lang w:val="en-US"/>
              </w:rPr>
              <w:t xml:space="preserve"> 18, 12 papers in D1 journals between 2014 and 2018) and </w:t>
            </w:r>
            <w:r w:rsidRPr="00ED1FC9">
              <w:rPr>
                <w:rFonts w:ascii="Times New Roman" w:hAnsi="Times New Roman"/>
                <w:sz w:val="24"/>
                <w:szCs w:val="24"/>
                <w:lang w:val="en-US"/>
              </w:rPr>
              <w:t>Jaroslav Hrabak</w:t>
            </w:r>
            <w:r w:rsidRPr="000741A2">
              <w:rPr>
                <w:rFonts w:ascii="Times New Roman" w:hAnsi="Times New Roman"/>
                <w:sz w:val="24"/>
                <w:szCs w:val="24"/>
                <w:lang w:val="en-US"/>
              </w:rPr>
              <w:t xml:space="preserve"> (</w:t>
            </w:r>
            <w:r w:rsidR="004F44C2">
              <w:rPr>
                <w:rFonts w:ascii="Times New Roman" w:hAnsi="Times New Roman"/>
                <w:sz w:val="24"/>
                <w:szCs w:val="24"/>
                <w:lang w:val="en-US"/>
              </w:rPr>
              <w:t>H-index</w:t>
            </w:r>
            <w:r w:rsidRPr="000741A2">
              <w:rPr>
                <w:rFonts w:ascii="Times New Roman" w:hAnsi="Times New Roman"/>
                <w:sz w:val="24"/>
                <w:szCs w:val="24"/>
                <w:lang w:val="en-US"/>
              </w:rPr>
              <w:t xml:space="preserve"> 17, 11 papers in D1 journals between 2014 and 2018) from Department of Microbiology, Faculty of Medicine and University Hospital in Plzen, Charles University, Plzen  can be considered as </w:t>
            </w:r>
            <w:r w:rsidR="00F1751C">
              <w:rPr>
                <w:rFonts w:ascii="Times New Roman" w:hAnsi="Times New Roman"/>
                <w:sz w:val="24"/>
                <w:szCs w:val="24"/>
                <w:lang w:val="en-US"/>
              </w:rPr>
              <w:t>leading</w:t>
            </w:r>
            <w:r w:rsidRPr="000741A2">
              <w:rPr>
                <w:rFonts w:ascii="Times New Roman" w:hAnsi="Times New Roman"/>
                <w:sz w:val="24"/>
                <w:szCs w:val="24"/>
                <w:lang w:val="en-US"/>
              </w:rPr>
              <w:t xml:space="preserve"> authors and LFPI as a flagship faculty.</w:t>
            </w:r>
            <w:r w:rsidRPr="000741A2">
              <w:rPr>
                <w:sz w:val="24"/>
                <w:szCs w:val="24"/>
                <w:lang w:val="en-US"/>
              </w:rPr>
              <w:t xml:space="preserve">  </w:t>
            </w:r>
            <w:r w:rsidRPr="000741A2">
              <w:rPr>
                <w:rFonts w:ascii="Times New Roman" w:hAnsi="Times New Roman"/>
                <w:sz w:val="24"/>
                <w:szCs w:val="24"/>
                <w:lang w:val="en-US"/>
              </w:rPr>
              <w:t xml:space="preserve">Papagiannitsis  C is also </w:t>
            </w:r>
            <w:r w:rsidRPr="000741A2">
              <w:rPr>
                <w:rFonts w:ascii="Times New Roman" w:eastAsia="Times New Roman" w:hAnsi="Times New Roman"/>
                <w:sz w:val="24"/>
                <w:szCs w:val="24"/>
                <w:lang w:val="en-US"/>
              </w:rPr>
              <w:t xml:space="preserve"> an Assistant Professor, Department of Microbiology, Faculty of Medicine, University of Thessaly, Larissa, Greece</w:t>
            </w:r>
            <w:r w:rsidR="00F1751C">
              <w:rPr>
                <w:rFonts w:ascii="Times New Roman" w:eastAsia="Times New Roman" w:hAnsi="Times New Roman"/>
                <w:sz w:val="24"/>
                <w:szCs w:val="24"/>
                <w:lang w:val="en-US"/>
              </w:rPr>
              <w:t>,</w:t>
            </w:r>
            <w:r w:rsidRPr="000741A2">
              <w:rPr>
                <w:rFonts w:ascii="Times New Roman" w:eastAsia="Times New Roman" w:hAnsi="Times New Roman"/>
                <w:sz w:val="24"/>
                <w:szCs w:val="24"/>
                <w:lang w:val="en-US"/>
              </w:rPr>
              <w:t xml:space="preserve"> and his most cited papers were published in </w:t>
            </w:r>
            <w:r w:rsidRPr="000741A2">
              <w:rPr>
                <w:rFonts w:ascii="Times New Roman" w:eastAsia="Times New Roman" w:hAnsi="Times New Roman"/>
                <w:i/>
                <w:sz w:val="24"/>
                <w:szCs w:val="24"/>
                <w:lang w:val="en-US"/>
              </w:rPr>
              <w:t xml:space="preserve">J Antimicrobial Chemotrepary </w:t>
            </w:r>
            <w:r w:rsidRPr="000741A2">
              <w:rPr>
                <w:rFonts w:ascii="Times New Roman" w:eastAsia="Times New Roman" w:hAnsi="Times New Roman"/>
                <w:sz w:val="24"/>
                <w:szCs w:val="24"/>
                <w:lang w:val="en-US"/>
              </w:rPr>
              <w:t xml:space="preserve">and </w:t>
            </w:r>
            <w:r w:rsidRPr="000741A2">
              <w:rPr>
                <w:rFonts w:ascii="Times New Roman" w:eastAsia="Times New Roman" w:hAnsi="Times New Roman"/>
                <w:i/>
                <w:sz w:val="24"/>
                <w:szCs w:val="24"/>
                <w:lang w:val="en-US"/>
              </w:rPr>
              <w:t xml:space="preserve">Clinical Microbiology and Infestions </w:t>
            </w:r>
            <w:r w:rsidRPr="000741A2">
              <w:rPr>
                <w:rFonts w:ascii="Times New Roman" w:eastAsia="Times New Roman" w:hAnsi="Times New Roman"/>
                <w:sz w:val="24"/>
                <w:szCs w:val="24"/>
                <w:lang w:val="en-US"/>
              </w:rPr>
              <w:t>etc. Dominant topics are antimicrobial susceptibility and antibiotic resistance. Jaroslav Hrabak’s m</w:t>
            </w:r>
            <w:r w:rsidRPr="000741A2">
              <w:rPr>
                <w:rFonts w:ascii="Times New Roman" w:hAnsi="Times New Roman"/>
                <w:sz w:val="24"/>
                <w:szCs w:val="24"/>
                <w:lang w:val="en-US"/>
              </w:rPr>
              <w:t xml:space="preserve">ost cited papers were published in </w:t>
            </w:r>
            <w:r w:rsidRPr="000741A2">
              <w:rPr>
                <w:rFonts w:ascii="Times New Roman" w:hAnsi="Times New Roman"/>
                <w:i/>
                <w:sz w:val="24"/>
                <w:szCs w:val="24"/>
                <w:lang w:val="en-US"/>
              </w:rPr>
              <w:t>Lancet Infectious Disease</w:t>
            </w:r>
            <w:r w:rsidRPr="000741A2">
              <w:rPr>
                <w:rFonts w:ascii="Times New Roman" w:hAnsi="Times New Roman"/>
                <w:sz w:val="24"/>
                <w:szCs w:val="24"/>
                <w:lang w:val="en-US"/>
              </w:rPr>
              <w:t xml:space="preserve"> and </w:t>
            </w:r>
            <w:r w:rsidRPr="000741A2">
              <w:rPr>
                <w:rFonts w:ascii="Times New Roman" w:hAnsi="Times New Roman"/>
                <w:i/>
                <w:sz w:val="24"/>
                <w:szCs w:val="24"/>
                <w:lang w:val="en-US"/>
              </w:rPr>
              <w:t>Journal of Clinical Microbiology</w:t>
            </w:r>
            <w:r w:rsidRPr="000741A2">
              <w:rPr>
                <w:rFonts w:ascii="Times New Roman" w:hAnsi="Times New Roman"/>
                <w:sz w:val="24"/>
                <w:szCs w:val="24"/>
                <w:lang w:val="en-US"/>
              </w:rPr>
              <w:t>. Important topic is genetics of antibiotic resistance.</w:t>
            </w:r>
            <w:r>
              <w:rPr>
                <w:rFonts w:ascii="Times New Roman" w:hAnsi="Times New Roman"/>
                <w:sz w:val="24"/>
                <w:szCs w:val="24"/>
                <w:lang w:val="en-US"/>
              </w:rPr>
              <w:t xml:space="preserve"> </w:t>
            </w:r>
          </w:p>
          <w:p w14:paraId="044B6700" w14:textId="1824CAB2" w:rsidR="00447D4E" w:rsidRPr="000741A2" w:rsidRDefault="00447D4E" w:rsidP="00447D4E">
            <w:pPr>
              <w:spacing w:after="120" w:line="240" w:lineRule="auto"/>
              <w:ind w:left="49"/>
              <w:rPr>
                <w:rFonts w:ascii="Times New Roman" w:hAnsi="Times New Roman"/>
                <w:sz w:val="24"/>
                <w:szCs w:val="24"/>
                <w:lang w:val="en-US"/>
              </w:rPr>
            </w:pPr>
            <w:r>
              <w:rPr>
                <w:rFonts w:ascii="Times New Roman" w:hAnsi="Times New Roman"/>
                <w:sz w:val="24"/>
                <w:szCs w:val="24"/>
                <w:lang w:val="en-US"/>
              </w:rPr>
              <w:t xml:space="preserve">Although the research of both authors could be classified as pharmacology (WoS classification) as well as to experimental biology (self assignment), it is clear that at CUNI top pharmacology research is not limited only to formal units of Pharmacy and Pharmacology. </w:t>
            </w:r>
            <w:r w:rsidRPr="00ED1FC9">
              <w:rPr>
                <w:rFonts w:ascii="Times New Roman" w:hAnsi="Times New Roman"/>
                <w:sz w:val="24"/>
                <w:szCs w:val="24"/>
                <w:lang w:val="en-US"/>
              </w:rPr>
              <w:t>Constantinos Papagiannitsis and Jaroslav Hrabak</w:t>
            </w:r>
            <w:r>
              <w:rPr>
                <w:rFonts w:ascii="Times New Roman" w:hAnsi="Times New Roman"/>
                <w:sz w:val="24"/>
                <w:szCs w:val="24"/>
                <w:lang w:val="en-US"/>
              </w:rPr>
              <w:t xml:space="preserve"> are not included in the CUNI subfield Pharmacy, Pharmacology and Toxicology. This observed discrepancy is demonstrating a weakness of the current classification for the evaluation purpose.</w:t>
            </w:r>
          </w:p>
          <w:p w14:paraId="5BBB1C3A" w14:textId="25CFBA4E" w:rsidR="00447D4E" w:rsidRPr="00A650C7" w:rsidRDefault="00447D4E" w:rsidP="00447D4E">
            <w:pPr>
              <w:rPr>
                <w:rFonts w:ascii="Times New Roman" w:hAnsi="Times New Roman"/>
                <w:sz w:val="24"/>
                <w:szCs w:val="24"/>
                <w:lang w:val="en-US"/>
              </w:rPr>
            </w:pPr>
            <w:r w:rsidRPr="00AC72BF">
              <w:rPr>
                <w:rFonts w:ascii="Times New Roman" w:hAnsi="Times New Roman"/>
                <w:sz w:val="24"/>
                <w:szCs w:val="24"/>
                <w:lang w:val="en-US"/>
              </w:rPr>
              <w:t>According to the analysis of D1 and Q1 papers, Petr Pavek from Department of Pharmacology and Toxicology, Faculty of Pharmacy in Hradec Kralove (FaF)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32, </w:t>
            </w:r>
            <w:r>
              <w:rPr>
                <w:rFonts w:ascii="Times New Roman" w:hAnsi="Times New Roman"/>
                <w:sz w:val="24"/>
                <w:szCs w:val="24"/>
                <w:lang w:val="en-US"/>
              </w:rPr>
              <w:t>2488</w:t>
            </w:r>
            <w:r w:rsidRPr="00AC72BF">
              <w:rPr>
                <w:rFonts w:ascii="Times New Roman" w:hAnsi="Times New Roman"/>
                <w:sz w:val="24"/>
                <w:szCs w:val="24"/>
                <w:lang w:val="en-US"/>
              </w:rPr>
              <w:t xml:space="preserve"> pure citations, </w:t>
            </w:r>
            <w:r>
              <w:rPr>
                <w:rFonts w:ascii="Times New Roman" w:hAnsi="Times New Roman"/>
                <w:sz w:val="24"/>
                <w:szCs w:val="24"/>
                <w:lang w:val="en-US"/>
              </w:rPr>
              <w:t>21.21</w:t>
            </w:r>
            <w:r w:rsidRPr="00AC72BF">
              <w:rPr>
                <w:rFonts w:ascii="Times New Roman" w:hAnsi="Times New Roman"/>
                <w:sz w:val="24"/>
                <w:szCs w:val="24"/>
                <w:lang w:val="en-US"/>
              </w:rPr>
              <w:t xml:space="preserve"> citations per item)   can be considered as a flagship author and FaF as a flagship faculty. In the period 2014-2018 he has published 52 papers (2 times D1 last author, 4 times Q1 last author, 5 times Q2 last author, 1 time Q3 last author, 2 times Q4 last author) which altogether have </w:t>
            </w:r>
            <w:r>
              <w:rPr>
                <w:rFonts w:ascii="Times New Roman" w:hAnsi="Times New Roman"/>
                <w:sz w:val="24"/>
                <w:szCs w:val="24"/>
                <w:lang w:val="en-US"/>
              </w:rPr>
              <w:t>459</w:t>
            </w:r>
            <w:r w:rsidRPr="00AC72BF">
              <w:rPr>
                <w:rFonts w:ascii="Times New Roman" w:hAnsi="Times New Roman"/>
                <w:sz w:val="24"/>
                <w:szCs w:val="24"/>
                <w:lang w:val="en-US"/>
              </w:rPr>
              <w:t xml:space="preserve"> citations (</w:t>
            </w:r>
            <w:r>
              <w:rPr>
                <w:rFonts w:ascii="Times New Roman" w:hAnsi="Times New Roman"/>
                <w:sz w:val="24"/>
                <w:szCs w:val="24"/>
                <w:lang w:val="en-US"/>
              </w:rPr>
              <w:t>415</w:t>
            </w:r>
            <w:r w:rsidRPr="00AC72BF">
              <w:rPr>
                <w:rFonts w:ascii="Times New Roman" w:hAnsi="Times New Roman"/>
                <w:sz w:val="24"/>
                <w:szCs w:val="24"/>
                <w:lang w:val="en-US"/>
              </w:rPr>
              <w:t xml:space="preserve"> pure citations) and an H index of 12, </w:t>
            </w:r>
            <w:r>
              <w:rPr>
                <w:rFonts w:ascii="Times New Roman" w:hAnsi="Times New Roman"/>
                <w:sz w:val="24"/>
                <w:szCs w:val="24"/>
                <w:lang w:val="en-US"/>
              </w:rPr>
              <w:t>8.83</w:t>
            </w:r>
            <w:r w:rsidRPr="00AC72BF">
              <w:rPr>
                <w:rFonts w:ascii="Times New Roman" w:hAnsi="Times New Roman"/>
                <w:sz w:val="24"/>
                <w:szCs w:val="24"/>
                <w:lang w:val="en-US"/>
              </w:rPr>
              <w:t xml:space="preserve"> citations per item. The most cited work</w:t>
            </w:r>
            <w:r>
              <w:rPr>
                <w:rFonts w:ascii="Times New Roman" w:hAnsi="Times New Roman"/>
                <w:sz w:val="24"/>
                <w:szCs w:val="24"/>
                <w:lang w:val="en-US"/>
              </w:rPr>
              <w:t xml:space="preserve"> from this period </w:t>
            </w:r>
            <w:r w:rsidRPr="00AC72BF">
              <w:rPr>
                <w:rFonts w:ascii="Times New Roman" w:hAnsi="Times New Roman"/>
                <w:sz w:val="24"/>
                <w:szCs w:val="24"/>
                <w:lang w:val="en-US"/>
              </w:rPr>
              <w:t xml:space="preserve"> (published 2016) is a research paper having </w:t>
            </w:r>
            <w:r>
              <w:rPr>
                <w:rFonts w:ascii="Times New Roman" w:hAnsi="Times New Roman"/>
                <w:sz w:val="24"/>
                <w:szCs w:val="24"/>
                <w:lang w:val="en-US"/>
              </w:rPr>
              <w:t>40</w:t>
            </w:r>
            <w:r w:rsidRPr="00AC72BF">
              <w:rPr>
                <w:rFonts w:ascii="Times New Roman" w:hAnsi="Times New Roman"/>
                <w:sz w:val="24"/>
                <w:szCs w:val="24"/>
                <w:lang w:val="en-US"/>
              </w:rPr>
              <w:t xml:space="preserve"> citations.Frantisek Staud from the same Department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w:t>
            </w:r>
            <w:r>
              <w:rPr>
                <w:rFonts w:ascii="Times New Roman" w:hAnsi="Times New Roman"/>
                <w:sz w:val="24"/>
                <w:szCs w:val="24"/>
                <w:lang w:val="en-US"/>
              </w:rPr>
              <w:t>27</w:t>
            </w:r>
            <w:r w:rsidRPr="00AC72BF">
              <w:rPr>
                <w:rFonts w:ascii="Times New Roman" w:hAnsi="Times New Roman"/>
                <w:sz w:val="24"/>
                <w:szCs w:val="24"/>
                <w:lang w:val="en-US"/>
              </w:rPr>
              <w:t xml:space="preserve">, </w:t>
            </w:r>
            <w:r>
              <w:rPr>
                <w:rFonts w:ascii="Times New Roman" w:hAnsi="Times New Roman"/>
                <w:sz w:val="24"/>
                <w:szCs w:val="24"/>
                <w:lang w:val="en-US"/>
              </w:rPr>
              <w:t>1654</w:t>
            </w:r>
            <w:r w:rsidRPr="00AC72BF">
              <w:rPr>
                <w:rFonts w:ascii="Times New Roman" w:hAnsi="Times New Roman"/>
                <w:sz w:val="24"/>
                <w:szCs w:val="24"/>
                <w:lang w:val="en-US"/>
              </w:rPr>
              <w:t xml:space="preserve"> pure citations, 19,</w:t>
            </w:r>
            <w:r>
              <w:rPr>
                <w:rFonts w:ascii="Times New Roman" w:hAnsi="Times New Roman"/>
                <w:sz w:val="24"/>
                <w:szCs w:val="24"/>
                <w:lang w:val="en-US"/>
              </w:rPr>
              <w:t>23</w:t>
            </w:r>
            <w:r w:rsidRPr="00AC72BF">
              <w:rPr>
                <w:rFonts w:ascii="Times New Roman" w:hAnsi="Times New Roman"/>
                <w:sz w:val="24"/>
                <w:szCs w:val="24"/>
                <w:lang w:val="en-US"/>
              </w:rPr>
              <w:t xml:space="preserve"> citations per item)   can be considered as a follower. In the period 2014-2018 he has published 28 papers (0 times D1 last author, 5 times Q1 last author, 7 times Q2 last author, 2 times Q3 last author, 2 times Q4 last author) which altogether have </w:t>
            </w:r>
            <w:r>
              <w:rPr>
                <w:rFonts w:ascii="Times New Roman" w:hAnsi="Times New Roman"/>
                <w:sz w:val="24"/>
                <w:szCs w:val="24"/>
                <w:lang w:val="en-US"/>
              </w:rPr>
              <w:t>261</w:t>
            </w:r>
            <w:r w:rsidRPr="00AC72BF">
              <w:rPr>
                <w:rFonts w:ascii="Times New Roman" w:hAnsi="Times New Roman"/>
                <w:sz w:val="24"/>
                <w:szCs w:val="24"/>
                <w:lang w:val="en-US"/>
              </w:rPr>
              <w:t xml:space="preserve"> citations (</w:t>
            </w:r>
            <w:r>
              <w:rPr>
                <w:rFonts w:ascii="Times New Roman" w:hAnsi="Times New Roman"/>
                <w:sz w:val="24"/>
                <w:szCs w:val="24"/>
                <w:lang w:val="en-US"/>
              </w:rPr>
              <w:t>219</w:t>
            </w:r>
            <w:r w:rsidRPr="00AC72BF">
              <w:rPr>
                <w:rFonts w:ascii="Times New Roman" w:hAnsi="Times New Roman"/>
                <w:sz w:val="24"/>
                <w:szCs w:val="24"/>
                <w:lang w:val="en-US"/>
              </w:rPr>
              <w:t xml:space="preserve"> pure citations) and an H index of 11, 9 citations per item. The most cited work (published 2014) is a research paper having 41 citations.</w:t>
            </w:r>
            <w:r>
              <w:rPr>
                <w:rFonts w:ascii="Times New Roman" w:hAnsi="Times New Roman"/>
                <w:sz w:val="24"/>
                <w:szCs w:val="24"/>
                <w:lang w:val="en-US"/>
              </w:rPr>
              <w:t xml:space="preserve"> In total he has 4 papers with over 100 citations.</w:t>
            </w:r>
          </w:p>
          <w:p w14:paraId="3436C3DF" w14:textId="09095DEC"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 xml:space="preserve">The subfield Pharmacy &amp; Pharmacology is strongly presented also at the Department of Pharmacology at LFHK (Sterba Martin, H index 19, </w:t>
            </w:r>
            <w:r>
              <w:rPr>
                <w:rFonts w:ascii="Times New Roman" w:hAnsi="Times New Roman"/>
                <w:sz w:val="24"/>
                <w:szCs w:val="24"/>
                <w:lang w:val="en-US"/>
              </w:rPr>
              <w:t>1313</w:t>
            </w:r>
            <w:r w:rsidRPr="00AC72BF">
              <w:rPr>
                <w:rFonts w:ascii="Times New Roman" w:hAnsi="Times New Roman"/>
                <w:sz w:val="24"/>
                <w:szCs w:val="24"/>
                <w:lang w:val="en-US"/>
              </w:rPr>
              <w:t xml:space="preserve"> citations, 22.</w:t>
            </w:r>
            <w:r>
              <w:rPr>
                <w:rFonts w:ascii="Times New Roman" w:hAnsi="Times New Roman"/>
                <w:sz w:val="24"/>
                <w:szCs w:val="24"/>
                <w:lang w:val="en-US"/>
              </w:rPr>
              <w:t>86</w:t>
            </w:r>
            <w:r w:rsidRPr="00AC72BF">
              <w:rPr>
                <w:rFonts w:ascii="Times New Roman" w:hAnsi="Times New Roman"/>
                <w:sz w:val="24"/>
                <w:szCs w:val="24"/>
                <w:lang w:val="en-US"/>
              </w:rPr>
              <w:t xml:space="preserve"> citations per item, 21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7 and Micuda Stanislav,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w:t>
            </w:r>
            <w:r>
              <w:rPr>
                <w:rFonts w:ascii="Times New Roman" w:hAnsi="Times New Roman"/>
                <w:sz w:val="24"/>
                <w:szCs w:val="24"/>
                <w:lang w:val="en-US"/>
              </w:rPr>
              <w:t>18</w:t>
            </w:r>
            <w:r w:rsidRPr="00AC72BF">
              <w:rPr>
                <w:rFonts w:ascii="Times New Roman" w:hAnsi="Times New Roman"/>
                <w:sz w:val="24"/>
                <w:szCs w:val="24"/>
                <w:lang w:val="en-US"/>
              </w:rPr>
              <w:t xml:space="preserve">, </w:t>
            </w:r>
            <w:r>
              <w:rPr>
                <w:rFonts w:ascii="Times New Roman" w:hAnsi="Times New Roman"/>
                <w:sz w:val="24"/>
                <w:szCs w:val="24"/>
                <w:lang w:val="en-US"/>
              </w:rPr>
              <w:t>815</w:t>
            </w:r>
            <w:r w:rsidRPr="00AC72BF">
              <w:rPr>
                <w:rFonts w:ascii="Times New Roman" w:hAnsi="Times New Roman"/>
                <w:sz w:val="24"/>
                <w:szCs w:val="24"/>
                <w:lang w:val="en-US"/>
              </w:rPr>
              <w:t xml:space="preserve"> pure citations, </w:t>
            </w:r>
            <w:r>
              <w:rPr>
                <w:rFonts w:ascii="Times New Roman" w:hAnsi="Times New Roman"/>
                <w:sz w:val="24"/>
                <w:szCs w:val="24"/>
                <w:lang w:val="en-US"/>
              </w:rPr>
              <w:t>8.98</w:t>
            </w:r>
            <w:r w:rsidRPr="00AC72BF">
              <w:rPr>
                <w:rFonts w:ascii="Times New Roman" w:hAnsi="Times New Roman"/>
                <w:sz w:val="24"/>
                <w:szCs w:val="24"/>
                <w:lang w:val="en-US"/>
              </w:rPr>
              <w:t xml:space="preserve"> citations per item, 21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9). </w:t>
            </w:r>
          </w:p>
          <w:p w14:paraId="340523F2" w14:textId="1BE78A1B" w:rsidR="00447D4E" w:rsidRPr="00A650C7" w:rsidRDefault="00447D4E" w:rsidP="00447D4E">
            <w:pPr>
              <w:rPr>
                <w:rFonts w:ascii="Times New Roman" w:hAnsi="Times New Roman"/>
                <w:sz w:val="24"/>
                <w:szCs w:val="24"/>
                <w:lang w:val="en-US"/>
              </w:rPr>
            </w:pPr>
            <w:r w:rsidRPr="00AC72BF">
              <w:rPr>
                <w:rFonts w:ascii="Times New Roman" w:hAnsi="Times New Roman"/>
                <w:sz w:val="24"/>
                <w:szCs w:val="24"/>
                <w:lang w:val="en-US"/>
              </w:rPr>
              <w:lastRenderedPageBreak/>
              <w:t xml:space="preserve">The subfield Toxicology is strongly presented at the  </w:t>
            </w:r>
            <w:bookmarkStart w:id="1" w:name="addressWOS:000515538400038-1"/>
            <w:r w:rsidRPr="00AC72BF">
              <w:rPr>
                <w:rFonts w:ascii="Times New Roman" w:hAnsi="Times New Roman"/>
                <w:sz w:val="24"/>
                <w:szCs w:val="24"/>
              </w:rPr>
              <w:t>Department of Occupational Medicine, Toxicology Informational Centr</w:t>
            </w:r>
            <w:bookmarkEnd w:id="1"/>
            <w:r w:rsidRPr="00AC72BF">
              <w:rPr>
                <w:rFonts w:ascii="Times New Roman" w:hAnsi="Times New Roman"/>
                <w:sz w:val="24"/>
                <w:szCs w:val="24"/>
              </w:rPr>
              <w:t>um of</w:t>
            </w:r>
            <w:r w:rsidRPr="00AC72BF">
              <w:rPr>
                <w:rFonts w:ascii="Times New Roman" w:hAnsi="Times New Roman"/>
                <w:sz w:val="24"/>
                <w:szCs w:val="24"/>
                <w:lang w:val="en-US"/>
              </w:rPr>
              <w:t xml:space="preserve"> 1.LF (Pelclova Daniela, H index </w:t>
            </w:r>
            <w:r>
              <w:rPr>
                <w:rFonts w:ascii="Times New Roman" w:hAnsi="Times New Roman"/>
                <w:sz w:val="24"/>
                <w:szCs w:val="24"/>
                <w:lang w:val="en-US"/>
              </w:rPr>
              <w:t>25</w:t>
            </w:r>
            <w:r w:rsidRPr="00AC72BF">
              <w:rPr>
                <w:rFonts w:ascii="Times New Roman" w:hAnsi="Times New Roman"/>
                <w:sz w:val="24"/>
                <w:szCs w:val="24"/>
                <w:lang w:val="en-US"/>
              </w:rPr>
              <w:t xml:space="preserve">, </w:t>
            </w:r>
            <w:r>
              <w:rPr>
                <w:rFonts w:ascii="Times New Roman" w:hAnsi="Times New Roman"/>
                <w:sz w:val="24"/>
                <w:szCs w:val="24"/>
                <w:lang w:val="en-US"/>
              </w:rPr>
              <w:t>1297</w:t>
            </w:r>
            <w:r w:rsidRPr="00AC72BF">
              <w:rPr>
                <w:rFonts w:ascii="Times New Roman" w:hAnsi="Times New Roman"/>
                <w:sz w:val="24"/>
                <w:szCs w:val="24"/>
                <w:lang w:val="en-US"/>
              </w:rPr>
              <w:t xml:space="preserve"> pure citations, 10.</w:t>
            </w:r>
            <w:r>
              <w:rPr>
                <w:rFonts w:ascii="Times New Roman" w:hAnsi="Times New Roman"/>
                <w:sz w:val="24"/>
                <w:szCs w:val="24"/>
                <w:lang w:val="en-US"/>
              </w:rPr>
              <w:t>07</w:t>
            </w:r>
            <w:r w:rsidRPr="00AC72BF">
              <w:rPr>
                <w:rFonts w:ascii="Times New Roman" w:hAnsi="Times New Roman"/>
                <w:sz w:val="24"/>
                <w:szCs w:val="24"/>
                <w:lang w:val="en-US"/>
              </w:rPr>
              <w:t xml:space="preserve"> citations per item, 88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19 and Sergey Zakharov, H index </w:t>
            </w:r>
            <w:r>
              <w:rPr>
                <w:rFonts w:ascii="Times New Roman" w:hAnsi="Times New Roman"/>
                <w:sz w:val="24"/>
                <w:szCs w:val="24"/>
                <w:lang w:val="en-US"/>
              </w:rPr>
              <w:t>14</w:t>
            </w:r>
            <w:r w:rsidRPr="00AC72BF">
              <w:rPr>
                <w:rFonts w:ascii="Times New Roman" w:hAnsi="Times New Roman"/>
                <w:sz w:val="24"/>
                <w:szCs w:val="24"/>
                <w:lang w:val="en-US"/>
              </w:rPr>
              <w:t xml:space="preserve">,  </w:t>
            </w:r>
            <w:r>
              <w:rPr>
                <w:rFonts w:ascii="Times New Roman" w:hAnsi="Times New Roman"/>
                <w:sz w:val="24"/>
                <w:szCs w:val="24"/>
                <w:lang w:val="en-US"/>
              </w:rPr>
              <w:t>261</w:t>
            </w:r>
            <w:r w:rsidRPr="00AC72BF">
              <w:rPr>
                <w:rFonts w:ascii="Times New Roman" w:hAnsi="Times New Roman"/>
                <w:sz w:val="24"/>
                <w:szCs w:val="24"/>
                <w:lang w:val="en-US"/>
              </w:rPr>
              <w:t xml:space="preserve"> pure citations, </w:t>
            </w:r>
            <w:r>
              <w:rPr>
                <w:rFonts w:ascii="Times New Roman" w:hAnsi="Times New Roman"/>
                <w:sz w:val="24"/>
                <w:szCs w:val="24"/>
                <w:lang w:val="en-US"/>
              </w:rPr>
              <w:t>6.61</w:t>
            </w:r>
            <w:r w:rsidRPr="00AC72BF">
              <w:rPr>
                <w:rFonts w:ascii="Times New Roman" w:hAnsi="Times New Roman"/>
                <w:sz w:val="24"/>
                <w:szCs w:val="24"/>
                <w:lang w:val="en-US"/>
              </w:rPr>
              <w:t xml:space="preserve"> citations per item, 54 papers published in the 2014-2018 period, </w:t>
            </w:r>
            <w:r w:rsidR="004F44C2">
              <w:rPr>
                <w:rFonts w:ascii="Times New Roman" w:hAnsi="Times New Roman"/>
                <w:sz w:val="24"/>
                <w:szCs w:val="24"/>
                <w:lang w:val="en-US"/>
              </w:rPr>
              <w:t>H-index</w:t>
            </w:r>
            <w:r w:rsidRPr="00AC72BF">
              <w:rPr>
                <w:rFonts w:ascii="Times New Roman" w:hAnsi="Times New Roman"/>
                <w:sz w:val="24"/>
                <w:szCs w:val="24"/>
                <w:lang w:val="en-US"/>
              </w:rPr>
              <w:t xml:space="preserve"> 14).  </w:t>
            </w:r>
          </w:p>
          <w:p w14:paraId="4440BDE6" w14:textId="1CA9E5C8"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 xml:space="preserve">The analysis demonstrates that very often the research is </w:t>
            </w:r>
            <w:r w:rsidR="00A16B39">
              <w:rPr>
                <w:rFonts w:ascii="Times New Roman" w:hAnsi="Times New Roman"/>
                <w:sz w:val="24"/>
                <w:szCs w:val="24"/>
                <w:lang w:val="en-US"/>
              </w:rPr>
              <w:t xml:space="preserve">performed primarily </w:t>
            </w:r>
            <w:r w:rsidRPr="00AC72BF">
              <w:rPr>
                <w:rFonts w:ascii="Times New Roman" w:hAnsi="Times New Roman"/>
                <w:sz w:val="24"/>
                <w:szCs w:val="24"/>
                <w:lang w:val="en-US"/>
              </w:rPr>
              <w:t xml:space="preserve">within one Faculty or within CUNI collaboration only. Five out of 12 D1 papers from FaF were produced only by FaF authors. These works (908, 909, 910, 912, 913) are mentioned explicitly, as these publications are truly a product of the CU - FaF and often reflect successful PhD training and funding acquisition.  In 4 further D1 papers done under limited national or international collaboration (905, 907, 911, </w:t>
            </w:r>
            <w:r>
              <w:rPr>
                <w:rFonts w:ascii="Times New Roman" w:hAnsi="Times New Roman"/>
                <w:sz w:val="24"/>
                <w:szCs w:val="24"/>
                <w:lang w:val="en-US"/>
              </w:rPr>
              <w:t>6886</w:t>
            </w:r>
            <w:r w:rsidRPr="00AC72BF">
              <w:rPr>
                <w:rFonts w:ascii="Times New Roman" w:hAnsi="Times New Roman"/>
                <w:sz w:val="24"/>
                <w:szCs w:val="24"/>
                <w:lang w:val="en-US"/>
              </w:rPr>
              <w:t xml:space="preserve">) the first or last author are also coming from FaF, indicating FaF as a flagship institution. The top papers from other institutions were generally produced in broad national or international collaboration. In most D1 publications  (12/14) the first authors are from CUNI and most senior authors (10/14) are also form CUNI. Interestingly, all D1 papers of Petr Pavek were centered at FaF and had a limited national or international collaboration, wheres </w:t>
            </w:r>
            <w:r>
              <w:rPr>
                <w:rFonts w:ascii="Times New Roman" w:hAnsi="Times New Roman"/>
                <w:sz w:val="24"/>
                <w:szCs w:val="24"/>
                <w:lang w:val="en-US"/>
              </w:rPr>
              <w:t>his</w:t>
            </w:r>
            <w:r w:rsidRPr="00AC72BF">
              <w:rPr>
                <w:rFonts w:ascii="Times New Roman" w:hAnsi="Times New Roman"/>
                <w:sz w:val="24"/>
                <w:szCs w:val="24"/>
                <w:lang w:val="en-US"/>
              </w:rPr>
              <w:t xml:space="preserve"> Q1 papers were produced within CUNI (no international) collaboration. The same is true for F. Staud (one exception, UniErlangen, Uni Manchester) and V. Wsol (only FaF colaboration). The leading faculties  and Departments are strongly recommended to analyze how fostering international collaboration could provide added value to exiting prevailing inter-CUNI or national collaboration in the subfields Pharmacy &amp; Pharmacology and Toxicology.  </w:t>
            </w:r>
          </w:p>
          <w:p w14:paraId="02C2093C" w14:textId="6BA4D4DB"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When realized, the collaboration within CUNI brings added value. Commendably</w:t>
            </w:r>
            <w:r w:rsidR="00A16B39">
              <w:rPr>
                <w:rFonts w:ascii="Times New Roman" w:hAnsi="Times New Roman"/>
                <w:sz w:val="24"/>
                <w:szCs w:val="24"/>
                <w:lang w:val="en-US"/>
              </w:rPr>
              <w:t>,</w:t>
            </w:r>
            <w:r w:rsidRPr="00AC72BF">
              <w:rPr>
                <w:rFonts w:ascii="Times New Roman" w:hAnsi="Times New Roman"/>
                <w:sz w:val="24"/>
                <w:szCs w:val="24"/>
                <w:lang w:val="en-US"/>
              </w:rPr>
              <w:t xml:space="preserve"> the research leader at FaF</w:t>
            </w:r>
            <w:r w:rsidR="00A16B39">
              <w:rPr>
                <w:rFonts w:ascii="Times New Roman" w:hAnsi="Times New Roman"/>
                <w:sz w:val="24"/>
                <w:szCs w:val="24"/>
                <w:lang w:val="en-US"/>
              </w:rPr>
              <w:t>,</w:t>
            </w:r>
            <w:r w:rsidRPr="00AC72BF">
              <w:rPr>
                <w:rFonts w:ascii="Times New Roman" w:hAnsi="Times New Roman"/>
                <w:sz w:val="24"/>
                <w:szCs w:val="24"/>
                <w:lang w:val="en-US"/>
              </w:rPr>
              <w:t xml:space="preserve"> Petr Pavek</w:t>
            </w:r>
            <w:r w:rsidR="00A16B39">
              <w:rPr>
                <w:rFonts w:ascii="Times New Roman" w:hAnsi="Times New Roman"/>
                <w:sz w:val="24"/>
                <w:szCs w:val="24"/>
                <w:lang w:val="en-US"/>
              </w:rPr>
              <w:t>,</w:t>
            </w:r>
            <w:r w:rsidRPr="00AC72BF">
              <w:rPr>
                <w:rFonts w:ascii="Times New Roman" w:hAnsi="Times New Roman"/>
                <w:sz w:val="24"/>
                <w:szCs w:val="24"/>
                <w:lang w:val="en-US"/>
              </w:rPr>
              <w:t xml:space="preserve"> collaborates with the research leader Stanislav Micuda at LFHK. </w:t>
            </w:r>
          </w:p>
          <w:p w14:paraId="68E8ECC1" w14:textId="3CE0F76F" w:rsidR="00447D4E" w:rsidRPr="00AC72BF" w:rsidRDefault="00447D4E" w:rsidP="00447D4E">
            <w:pPr>
              <w:rPr>
                <w:rFonts w:ascii="Times New Roman" w:hAnsi="Times New Roman"/>
                <w:sz w:val="24"/>
                <w:szCs w:val="24"/>
                <w:lang w:val="en-US"/>
              </w:rPr>
            </w:pPr>
            <w:r w:rsidRPr="00AC72BF">
              <w:rPr>
                <w:rFonts w:ascii="Times New Roman" w:hAnsi="Times New Roman"/>
                <w:sz w:val="24"/>
                <w:szCs w:val="24"/>
                <w:lang w:val="en-US"/>
              </w:rPr>
              <w:t>The proportion of reviews amog t</w:t>
            </w:r>
            <w:r w:rsidR="00A16B39">
              <w:rPr>
                <w:rFonts w:ascii="Times New Roman" w:hAnsi="Times New Roman"/>
                <w:sz w:val="24"/>
                <w:szCs w:val="24"/>
                <w:lang w:val="en-US"/>
              </w:rPr>
              <w:t>he</w:t>
            </w:r>
            <w:r w:rsidRPr="00AC72BF">
              <w:rPr>
                <w:rFonts w:ascii="Times New Roman" w:hAnsi="Times New Roman"/>
                <w:sz w:val="24"/>
                <w:szCs w:val="24"/>
                <w:lang w:val="en-US"/>
              </w:rPr>
              <w:t xml:space="preserve"> top D1 papers  is 28% (4/14) indicating a very solid research activity in Pharmacy, Pharmacology and Toxicolog</w:t>
            </w:r>
            <w:r w:rsidR="00A16B39">
              <w:rPr>
                <w:rFonts w:ascii="Times New Roman" w:hAnsi="Times New Roman"/>
                <w:sz w:val="24"/>
                <w:szCs w:val="24"/>
                <w:lang w:val="en-US"/>
              </w:rPr>
              <w:t>y</w:t>
            </w:r>
            <w:r w:rsidRPr="00AC72BF">
              <w:rPr>
                <w:rFonts w:ascii="Times New Roman" w:hAnsi="Times New Roman"/>
                <w:sz w:val="24"/>
                <w:szCs w:val="24"/>
                <w:lang w:val="en-US"/>
              </w:rPr>
              <w:t xml:space="preserve"> at CUNI.</w:t>
            </w:r>
          </w:p>
          <w:p w14:paraId="4ACF9D87" w14:textId="13FC1470" w:rsidR="00447D4E" w:rsidRDefault="00447D4E" w:rsidP="00447D4E">
            <w:pPr>
              <w:rPr>
                <w:rFonts w:ascii="Times New Roman" w:hAnsi="Times New Roman"/>
                <w:sz w:val="24"/>
                <w:szCs w:val="24"/>
                <w:lang w:val="en-US"/>
              </w:rPr>
            </w:pPr>
            <w:r w:rsidRPr="00AC72BF">
              <w:rPr>
                <w:rFonts w:ascii="Times New Roman" w:hAnsi="Times New Roman"/>
                <w:sz w:val="24"/>
                <w:szCs w:val="24"/>
                <w:lang w:val="en-US"/>
              </w:rPr>
              <w:t>At the flagship institution FaF HK</w:t>
            </w:r>
            <w:r w:rsidR="00A16B39">
              <w:rPr>
                <w:rFonts w:ascii="Times New Roman" w:hAnsi="Times New Roman"/>
                <w:sz w:val="24"/>
                <w:szCs w:val="24"/>
                <w:lang w:val="en-US"/>
              </w:rPr>
              <w:t>,</w:t>
            </w:r>
            <w:r w:rsidRPr="00AC72BF">
              <w:rPr>
                <w:rFonts w:ascii="Times New Roman" w:hAnsi="Times New Roman"/>
                <w:sz w:val="24"/>
                <w:szCs w:val="24"/>
                <w:lang w:val="en-US"/>
              </w:rPr>
              <w:t xml:space="preserve"> the coverage of research fields is relatively broad</w:t>
            </w:r>
            <w:r w:rsidR="00A16B39">
              <w:rPr>
                <w:rFonts w:ascii="Times New Roman" w:hAnsi="Times New Roman"/>
                <w:sz w:val="24"/>
                <w:szCs w:val="24"/>
                <w:lang w:val="en-US"/>
              </w:rPr>
              <w:t>, with</w:t>
            </w:r>
            <w:r w:rsidRPr="00AC72BF">
              <w:rPr>
                <w:rFonts w:ascii="Times New Roman" w:hAnsi="Times New Roman"/>
                <w:sz w:val="24"/>
                <w:szCs w:val="24"/>
                <w:lang w:val="en-US"/>
              </w:rPr>
              <w:t xml:space="preserve"> pregnane X receptor and other nuclear receptor</w:t>
            </w:r>
            <w:r w:rsidR="00A16B39">
              <w:rPr>
                <w:rFonts w:ascii="Times New Roman" w:hAnsi="Times New Roman"/>
                <w:sz w:val="24"/>
                <w:szCs w:val="24"/>
                <w:lang w:val="en-US"/>
              </w:rPr>
              <w:t>-</w:t>
            </w:r>
            <w:r w:rsidRPr="00AC72BF">
              <w:rPr>
                <w:rFonts w:ascii="Times New Roman" w:hAnsi="Times New Roman"/>
                <w:sz w:val="24"/>
                <w:szCs w:val="24"/>
                <w:lang w:val="en-US"/>
              </w:rPr>
              <w:t>mediated regulation of enzymes and transporters (P. Pavek), drug efflux transporters</w:t>
            </w:r>
            <w:r>
              <w:rPr>
                <w:rFonts w:ascii="Times New Roman" w:hAnsi="Times New Roman"/>
                <w:sz w:val="24"/>
                <w:szCs w:val="24"/>
                <w:lang w:val="en-US"/>
              </w:rPr>
              <w:t xml:space="preserve"> and fetal pharmacology</w:t>
            </w:r>
            <w:r w:rsidRPr="00AC72BF">
              <w:rPr>
                <w:rFonts w:ascii="Times New Roman" w:hAnsi="Times New Roman"/>
                <w:sz w:val="24"/>
                <w:szCs w:val="24"/>
                <w:lang w:val="en-US"/>
              </w:rPr>
              <w:t xml:space="preserve"> (F. Staud) and reductases (V. Wsol) be identified as leading research fields. Liver pharmacology (Micuda Stanislav) and cardiac pharmacology (Sterba Martin) are the main research field at LFHK and methanol poisoning (Zakharov Sergiy, Pelclova Daniela) at 1.LF.</w:t>
            </w:r>
          </w:p>
          <w:p w14:paraId="19DB26BA" w14:textId="77777777" w:rsidR="00447D4E" w:rsidRDefault="00447D4E" w:rsidP="00447D4E">
            <w:pPr>
              <w:rPr>
                <w:rFonts w:ascii="Times New Roman" w:hAnsi="Times New Roman"/>
                <w:sz w:val="24"/>
                <w:szCs w:val="24"/>
                <w:lang w:val="en-US"/>
              </w:rPr>
            </w:pPr>
            <w:r>
              <w:rPr>
                <w:rFonts w:ascii="Times New Roman" w:hAnsi="Times New Roman"/>
                <w:sz w:val="24"/>
                <w:szCs w:val="24"/>
                <w:lang w:val="en-US"/>
              </w:rPr>
              <w:t xml:space="preserve">Notwithstanding with the flagships identified according to the applied evaluation methodology and presented above, the classical pharmaceutical research areas such as medicinal chemistry [antituberculotic agents, multitarget and hybrid compounds (Jarmila Vinsova, Martin Dolezal, Jan Zitko), iron chelators (Tomas Šimunek)],  analysis [chromatography (Frantisek Švec, Petr Solich)] pharmaceutical technology and biopharmacy [topical drug delivery (Katerina Vavrova)], pharmaceutical botany (Lucie Cahlikova) and biochemistry (Lenka Skalova) are also strongly presented at FaF HK. With some exceptions </w:t>
            </w:r>
            <w:r>
              <w:rPr>
                <w:rFonts w:ascii="Times New Roman" w:hAnsi="Times New Roman"/>
                <w:sz w:val="24"/>
                <w:szCs w:val="24"/>
                <w:lang w:val="en-US"/>
              </w:rPr>
              <w:lastRenderedPageBreak/>
              <w:t>these works have mostly not been published in highest ranking journals but importantly contribute to the coherence of pharmaceutical research at CUNI. The researchers in the cited areas are strongly recommended to increase the visibility of their research by targeting higher ranking journals.</w:t>
            </w:r>
          </w:p>
          <w:p w14:paraId="07696984" w14:textId="77777777" w:rsidR="00447D4E" w:rsidRDefault="00447D4E" w:rsidP="00447D4E">
            <w:pPr>
              <w:rPr>
                <w:rFonts w:ascii="Times New Roman" w:hAnsi="Times New Roman"/>
                <w:sz w:val="24"/>
                <w:szCs w:val="24"/>
                <w:lang w:val="en-US"/>
              </w:rPr>
            </w:pPr>
            <w:r>
              <w:rPr>
                <w:rFonts w:ascii="Times New Roman" w:hAnsi="Times New Roman"/>
                <w:sz w:val="24"/>
                <w:szCs w:val="24"/>
                <w:lang w:val="en-US"/>
              </w:rPr>
              <w:t xml:space="preserve">Comendably, FaF HK owns several patents protecting various structural types of antimicrobial compounds, instruments and methods. A patent application on new antituberculotic agents was licenced to a pharmaceutical company.   </w:t>
            </w:r>
          </w:p>
          <w:p w14:paraId="7201AC6A" w14:textId="77777777" w:rsidR="00447D4E" w:rsidRDefault="00447D4E" w:rsidP="00447D4E">
            <w:pPr>
              <w:rPr>
                <w:rFonts w:ascii="Times New Roman" w:hAnsi="Times New Roman"/>
                <w:sz w:val="24"/>
                <w:szCs w:val="24"/>
                <w:lang w:val="en-US"/>
              </w:rPr>
            </w:pPr>
          </w:p>
          <w:p w14:paraId="454058F1" w14:textId="7BD820AB" w:rsidR="00447D4E" w:rsidRPr="00FE0DEB" w:rsidRDefault="00447D4E" w:rsidP="00447D4E">
            <w:pPr>
              <w:spacing w:after="120"/>
              <w:jc w:val="both"/>
              <w:rPr>
                <w:rFonts w:ascii="Times New Roman" w:hAnsi="Times New Roman"/>
                <w:sz w:val="24"/>
                <w:szCs w:val="24"/>
                <w:lang w:val="en-US"/>
              </w:rPr>
            </w:pPr>
            <w:r w:rsidRPr="00FE0DEB">
              <w:rPr>
                <w:rFonts w:ascii="Times New Roman" w:hAnsi="Times New Roman"/>
                <w:sz w:val="24"/>
                <w:szCs w:val="24"/>
                <w:lang w:val="en-US"/>
              </w:rPr>
              <w:t>Data from the table</w:t>
            </w:r>
            <w:r>
              <w:rPr>
                <w:rFonts w:ascii="Times New Roman" w:hAnsi="Times New Roman"/>
                <w:sz w:val="24"/>
                <w:szCs w:val="24"/>
                <w:lang w:val="en-US"/>
              </w:rPr>
              <w:t xml:space="preserve"> and the graph comparing the research output at CUNI and the six benchmark univerisities in the period 2014-2018</w:t>
            </w:r>
            <w:r w:rsidRPr="00FE0DEB">
              <w:rPr>
                <w:rFonts w:ascii="Times New Roman" w:hAnsi="Times New Roman"/>
                <w:sz w:val="24"/>
                <w:szCs w:val="24"/>
                <w:lang w:val="en-US"/>
              </w:rPr>
              <w:t xml:space="preserve"> shows that by papers in highest IF journal (&gt;10%, D1) per author the ranking order is as follows: Leuven, Heidelberg, Copenhagen and Milan, Vienna</w:t>
            </w:r>
            <w:r>
              <w:rPr>
                <w:rFonts w:ascii="Times New Roman" w:hAnsi="Times New Roman"/>
                <w:sz w:val="24"/>
                <w:szCs w:val="24"/>
                <w:lang w:val="en-US"/>
              </w:rPr>
              <w:t>, CUNI and</w:t>
            </w:r>
            <w:r w:rsidRPr="00FE0DEB">
              <w:rPr>
                <w:rFonts w:ascii="Times New Roman" w:hAnsi="Times New Roman"/>
                <w:sz w:val="24"/>
                <w:szCs w:val="24"/>
                <w:lang w:val="en-US"/>
              </w:rPr>
              <w:t xml:space="preserve">  Warsaw. Quantitatively </w:t>
            </w:r>
            <w:r>
              <w:rPr>
                <w:rFonts w:ascii="Times New Roman" w:hAnsi="Times New Roman"/>
                <w:sz w:val="24"/>
                <w:szCs w:val="24"/>
                <w:lang w:val="en-US"/>
              </w:rPr>
              <w:t xml:space="preserve">in D1 papers category </w:t>
            </w:r>
            <w:r w:rsidRPr="00FE0DEB">
              <w:rPr>
                <w:rFonts w:ascii="Times New Roman" w:hAnsi="Times New Roman"/>
                <w:sz w:val="24"/>
                <w:szCs w:val="24"/>
                <w:lang w:val="en-US"/>
              </w:rPr>
              <w:t>CUNI is</w:t>
            </w:r>
            <w:r>
              <w:rPr>
                <w:rFonts w:ascii="Times New Roman" w:hAnsi="Times New Roman"/>
                <w:sz w:val="24"/>
                <w:szCs w:val="24"/>
                <w:lang w:val="en-US"/>
              </w:rPr>
              <w:t xml:space="preserve"> </w:t>
            </w:r>
            <w:r w:rsidRPr="00FE0DEB">
              <w:rPr>
                <w:rFonts w:ascii="Times New Roman" w:hAnsi="Times New Roman"/>
                <w:sz w:val="24"/>
                <w:szCs w:val="24"/>
                <w:lang w:val="en-US"/>
              </w:rPr>
              <w:t xml:space="preserve">3-4 times below </w:t>
            </w:r>
            <w:r>
              <w:rPr>
                <w:rFonts w:ascii="Times New Roman" w:hAnsi="Times New Roman"/>
                <w:sz w:val="24"/>
                <w:szCs w:val="24"/>
                <w:lang w:val="en-US"/>
              </w:rPr>
              <w:t xml:space="preserve">the </w:t>
            </w:r>
            <w:r w:rsidRPr="00FE0DEB">
              <w:rPr>
                <w:rFonts w:ascii="Times New Roman" w:hAnsi="Times New Roman"/>
                <w:sz w:val="24"/>
                <w:szCs w:val="24"/>
                <w:lang w:val="en-US"/>
              </w:rPr>
              <w:t>European</w:t>
            </w:r>
            <w:r>
              <w:rPr>
                <w:rFonts w:ascii="Times New Roman" w:hAnsi="Times New Roman"/>
                <w:sz w:val="24"/>
                <w:szCs w:val="24"/>
                <w:lang w:val="en-US"/>
              </w:rPr>
              <w:t xml:space="preserve"> leading benchmark</w:t>
            </w:r>
            <w:r w:rsidRPr="00FE0DEB">
              <w:rPr>
                <w:rFonts w:ascii="Times New Roman" w:hAnsi="Times New Roman"/>
                <w:sz w:val="24"/>
                <w:szCs w:val="24"/>
                <w:lang w:val="en-US"/>
              </w:rPr>
              <w:t xml:space="preserve"> universities  (Leuven, Heidelberg, Copenhagen) but close to Vienna and above Warsaw).  Ranking based on </w:t>
            </w:r>
            <w:r>
              <w:rPr>
                <w:rFonts w:ascii="Times New Roman" w:hAnsi="Times New Roman"/>
                <w:sz w:val="24"/>
                <w:szCs w:val="24"/>
                <w:lang w:val="en-US"/>
              </w:rPr>
              <w:t>top half</w:t>
            </w:r>
            <w:r w:rsidRPr="00FE0DEB">
              <w:rPr>
                <w:rFonts w:ascii="Times New Roman" w:hAnsi="Times New Roman"/>
                <w:sz w:val="24"/>
                <w:szCs w:val="24"/>
                <w:lang w:val="en-US"/>
              </w:rPr>
              <w:t xml:space="preserve"> journals is </w:t>
            </w:r>
            <w:r>
              <w:rPr>
                <w:rFonts w:ascii="Times New Roman" w:hAnsi="Times New Roman"/>
                <w:sz w:val="24"/>
                <w:szCs w:val="24"/>
                <w:lang w:val="en-US"/>
              </w:rPr>
              <w:t>similar</w:t>
            </w:r>
            <w:r w:rsidRPr="00FE0DEB">
              <w:rPr>
                <w:rFonts w:ascii="Times New Roman" w:hAnsi="Times New Roman"/>
                <w:sz w:val="24"/>
                <w:szCs w:val="24"/>
                <w:lang w:val="en-US"/>
              </w:rPr>
              <w:t xml:space="preserve"> </w:t>
            </w:r>
            <w:r>
              <w:rPr>
                <w:rFonts w:ascii="Times New Roman" w:hAnsi="Times New Roman"/>
                <w:sz w:val="24"/>
                <w:szCs w:val="24"/>
                <w:lang w:val="en-US"/>
              </w:rPr>
              <w:t>(</w:t>
            </w:r>
            <w:r w:rsidRPr="00FE0DEB">
              <w:rPr>
                <w:rFonts w:ascii="Times New Roman" w:hAnsi="Times New Roman"/>
                <w:sz w:val="24"/>
                <w:szCs w:val="24"/>
                <w:lang w:val="en-US"/>
              </w:rPr>
              <w:t xml:space="preserve">Leuven, Milan, Copenhagen, Heidelberg, Vienna, CUNI, Warsaw. However, </w:t>
            </w:r>
            <w:r w:rsidR="007E2E73">
              <w:rPr>
                <w:rFonts w:ascii="Times New Roman" w:hAnsi="Times New Roman"/>
                <w:sz w:val="24"/>
                <w:szCs w:val="24"/>
                <w:lang w:val="en-US"/>
              </w:rPr>
              <w:t xml:space="preserve">the difference </w:t>
            </w:r>
            <w:r w:rsidRPr="00FE0DEB">
              <w:rPr>
                <w:rFonts w:ascii="Times New Roman" w:hAnsi="Times New Roman"/>
                <w:sz w:val="24"/>
                <w:szCs w:val="24"/>
                <w:lang w:val="en-US"/>
              </w:rPr>
              <w:t>between CUNI and top universities is two</w:t>
            </w:r>
            <w:r w:rsidR="007E2E73">
              <w:rPr>
                <w:rFonts w:ascii="Times New Roman" w:hAnsi="Times New Roman"/>
                <w:sz w:val="24"/>
                <w:szCs w:val="24"/>
                <w:lang w:val="en-US"/>
              </w:rPr>
              <w:t>-fold</w:t>
            </w:r>
            <w:r w:rsidRPr="00FE0DEB">
              <w:rPr>
                <w:rFonts w:ascii="Times New Roman" w:hAnsi="Times New Roman"/>
                <w:sz w:val="24"/>
                <w:szCs w:val="24"/>
                <w:lang w:val="en-US"/>
              </w:rPr>
              <w:t xml:space="preserve"> (Leuven / CUNI =1.96 vs. 0</w:t>
            </w:r>
            <w:r>
              <w:rPr>
                <w:rFonts w:ascii="Times New Roman" w:hAnsi="Times New Roman"/>
                <w:sz w:val="24"/>
                <w:szCs w:val="24"/>
                <w:lang w:val="en-US"/>
              </w:rPr>
              <w:t>.92</w:t>
            </w:r>
            <w:r w:rsidRPr="00FE0DEB">
              <w:rPr>
                <w:rFonts w:ascii="Times New Roman" w:hAnsi="Times New Roman"/>
                <w:sz w:val="24"/>
                <w:szCs w:val="24"/>
                <w:lang w:val="en-US"/>
              </w:rPr>
              <w:t xml:space="preserve">). Comparing </w:t>
            </w:r>
            <w:r>
              <w:rPr>
                <w:rFonts w:ascii="Times New Roman" w:hAnsi="Times New Roman"/>
                <w:sz w:val="24"/>
                <w:szCs w:val="24"/>
                <w:lang w:val="en-US"/>
              </w:rPr>
              <w:t xml:space="preserve">the number of </w:t>
            </w:r>
            <w:r w:rsidRPr="00FE0DEB">
              <w:rPr>
                <w:rFonts w:ascii="Times New Roman" w:hAnsi="Times New Roman"/>
                <w:sz w:val="24"/>
                <w:szCs w:val="24"/>
                <w:lang w:val="en-US"/>
              </w:rPr>
              <w:t xml:space="preserve">publications per author in </w:t>
            </w:r>
            <w:r>
              <w:rPr>
                <w:rFonts w:ascii="Times New Roman" w:hAnsi="Times New Roman"/>
                <w:sz w:val="24"/>
                <w:szCs w:val="24"/>
                <w:lang w:val="en-US"/>
              </w:rPr>
              <w:t>the bottom half</w:t>
            </w:r>
            <w:r w:rsidRPr="00FE0DEB">
              <w:rPr>
                <w:rFonts w:ascii="Times New Roman" w:hAnsi="Times New Roman"/>
                <w:sz w:val="24"/>
                <w:szCs w:val="24"/>
                <w:lang w:val="en-US"/>
              </w:rPr>
              <w:t xml:space="preserve"> journals  </w:t>
            </w:r>
            <w:r>
              <w:rPr>
                <w:rFonts w:ascii="Times New Roman" w:hAnsi="Times New Roman"/>
                <w:sz w:val="24"/>
                <w:szCs w:val="24"/>
                <w:lang w:val="en-US"/>
              </w:rPr>
              <w:t>shows a tendency of</w:t>
            </w:r>
            <w:r w:rsidRPr="00FE0DEB">
              <w:rPr>
                <w:rFonts w:ascii="Times New Roman" w:hAnsi="Times New Roman"/>
                <w:sz w:val="24"/>
                <w:szCs w:val="24"/>
                <w:lang w:val="en-US"/>
              </w:rPr>
              <w:t xml:space="preserve"> “reverse ranking” </w:t>
            </w:r>
            <w:r>
              <w:rPr>
                <w:rFonts w:ascii="Times New Roman" w:hAnsi="Times New Roman"/>
                <w:sz w:val="24"/>
                <w:szCs w:val="24"/>
                <w:lang w:val="en-US"/>
              </w:rPr>
              <w:t>with</w:t>
            </w:r>
            <w:r w:rsidRPr="00FE0DEB">
              <w:rPr>
                <w:rFonts w:ascii="Times New Roman" w:hAnsi="Times New Roman"/>
                <w:sz w:val="24"/>
                <w:szCs w:val="24"/>
                <w:lang w:val="en-US"/>
              </w:rPr>
              <w:t xml:space="preserve"> much smaller</w:t>
            </w:r>
            <w:r>
              <w:rPr>
                <w:rFonts w:ascii="Times New Roman" w:hAnsi="Times New Roman"/>
                <w:sz w:val="24"/>
                <w:szCs w:val="24"/>
                <w:lang w:val="en-US"/>
              </w:rPr>
              <w:t xml:space="preserve"> differences</w:t>
            </w:r>
            <w:r w:rsidRPr="00FE0DEB">
              <w:rPr>
                <w:rFonts w:ascii="Times New Roman" w:hAnsi="Times New Roman"/>
                <w:sz w:val="24"/>
                <w:szCs w:val="24"/>
                <w:lang w:val="en-US"/>
              </w:rPr>
              <w:t>.</w:t>
            </w:r>
            <w:r w:rsidRPr="00FE0DEB">
              <w:rPr>
                <w:sz w:val="24"/>
                <w:szCs w:val="24"/>
                <w:lang w:val="en-US"/>
              </w:rPr>
              <w:t xml:space="preserve"> </w:t>
            </w:r>
            <w:r>
              <w:rPr>
                <w:rFonts w:ascii="Times New Roman" w:hAnsi="Times New Roman"/>
                <w:sz w:val="24"/>
                <w:szCs w:val="24"/>
                <w:lang w:val="en-US"/>
              </w:rPr>
              <w:t>As a recommendation based on c</w:t>
            </w:r>
            <w:r w:rsidRPr="00FE0DEB">
              <w:rPr>
                <w:rFonts w:ascii="Times New Roman" w:hAnsi="Times New Roman"/>
                <w:sz w:val="24"/>
                <w:szCs w:val="24"/>
                <w:lang w:val="en-US"/>
              </w:rPr>
              <w:t xml:space="preserve">omparing ranking in top 10% and </w:t>
            </w:r>
            <w:r>
              <w:rPr>
                <w:rFonts w:ascii="Times New Roman" w:hAnsi="Times New Roman"/>
                <w:sz w:val="24"/>
                <w:szCs w:val="24"/>
                <w:lang w:val="en-US"/>
              </w:rPr>
              <w:t xml:space="preserve">top half journals, </w:t>
            </w:r>
            <w:r w:rsidRPr="00FE0DEB">
              <w:rPr>
                <w:rFonts w:ascii="Times New Roman" w:hAnsi="Times New Roman"/>
                <w:sz w:val="24"/>
                <w:szCs w:val="24"/>
                <w:lang w:val="en-US"/>
              </w:rPr>
              <w:t>CUNI needs more publication in top 10</w:t>
            </w:r>
            <w:r>
              <w:rPr>
                <w:rFonts w:ascii="Times New Roman" w:hAnsi="Times New Roman"/>
                <w:sz w:val="24"/>
                <w:szCs w:val="24"/>
                <w:lang w:val="en-US"/>
              </w:rPr>
              <w:t>% and also in top half journals</w:t>
            </w:r>
            <w:r w:rsidRPr="00FE0DEB">
              <w:rPr>
                <w:rFonts w:ascii="Times New Roman" w:hAnsi="Times New Roman"/>
                <w:sz w:val="24"/>
                <w:szCs w:val="24"/>
                <w:lang w:val="en-US"/>
              </w:rPr>
              <w:t xml:space="preserve">. </w:t>
            </w:r>
          </w:p>
          <w:tbl>
            <w:tblPr>
              <w:tblW w:w="13100" w:type="dxa"/>
              <w:tblLook w:val="04A0" w:firstRow="1" w:lastRow="0" w:firstColumn="1" w:lastColumn="0" w:noHBand="0" w:noVBand="1"/>
            </w:tblPr>
            <w:tblGrid>
              <w:gridCol w:w="2647"/>
              <w:gridCol w:w="832"/>
              <w:gridCol w:w="1218"/>
              <w:gridCol w:w="813"/>
              <w:gridCol w:w="1190"/>
              <w:gridCol w:w="1340"/>
              <w:gridCol w:w="1340"/>
              <w:gridCol w:w="1340"/>
              <w:gridCol w:w="1340"/>
              <w:gridCol w:w="1040"/>
            </w:tblGrid>
            <w:tr w:rsidR="00447D4E" w:rsidRPr="006D6612" w14:paraId="48E49991" w14:textId="77777777" w:rsidTr="00447D4E">
              <w:trPr>
                <w:trHeight w:val="312"/>
              </w:trPr>
              <w:tc>
                <w:tcPr>
                  <w:tcW w:w="6700" w:type="dxa"/>
                  <w:gridSpan w:val="5"/>
                  <w:tcBorders>
                    <w:top w:val="nil"/>
                    <w:left w:val="nil"/>
                    <w:bottom w:val="nil"/>
                    <w:right w:val="nil"/>
                  </w:tcBorders>
                  <w:shd w:val="clear" w:color="auto" w:fill="auto"/>
                  <w:noWrap/>
                  <w:vAlign w:val="bottom"/>
                  <w:hideMark/>
                </w:tcPr>
                <w:p w14:paraId="50A0E7E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WoS Category: PHARMACOLOGY &amp; PHARMACY and TOXICOLOGY</w:t>
                  </w:r>
                </w:p>
              </w:tc>
              <w:tc>
                <w:tcPr>
                  <w:tcW w:w="1340" w:type="dxa"/>
                  <w:tcBorders>
                    <w:top w:val="nil"/>
                    <w:left w:val="nil"/>
                    <w:bottom w:val="nil"/>
                    <w:right w:val="nil"/>
                  </w:tcBorders>
                  <w:shd w:val="clear" w:color="auto" w:fill="auto"/>
                  <w:noWrap/>
                  <w:vAlign w:val="bottom"/>
                  <w:hideMark/>
                </w:tcPr>
                <w:p w14:paraId="47ED2DEF" w14:textId="77777777" w:rsidR="00447D4E" w:rsidRPr="006D6612" w:rsidRDefault="00447D4E" w:rsidP="00447D4E">
                  <w:pPr>
                    <w:spacing w:after="0" w:line="240" w:lineRule="auto"/>
                    <w:rPr>
                      <w:rFonts w:eastAsia="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7107F952" w14:textId="77777777" w:rsidR="00447D4E" w:rsidRPr="006D6612" w:rsidRDefault="00447D4E" w:rsidP="00447D4E">
                  <w:pPr>
                    <w:spacing w:after="0" w:line="240" w:lineRule="auto"/>
                    <w:rPr>
                      <w:rFonts w:eastAsia="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59F4B446" w14:textId="77777777" w:rsidR="00447D4E" w:rsidRPr="006D6612" w:rsidRDefault="00447D4E" w:rsidP="00447D4E">
                  <w:pPr>
                    <w:spacing w:after="0" w:line="240" w:lineRule="auto"/>
                    <w:rPr>
                      <w:rFonts w:eastAsia="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1BB4DA71" w14:textId="77777777" w:rsidR="00447D4E" w:rsidRPr="006D6612" w:rsidRDefault="00447D4E" w:rsidP="00447D4E">
                  <w:pPr>
                    <w:spacing w:after="0" w:line="240" w:lineRule="auto"/>
                    <w:rPr>
                      <w:rFonts w:eastAsia="Times New Roman"/>
                      <w:color w:val="000000"/>
                      <w:sz w:val="24"/>
                      <w:szCs w:val="24"/>
                      <w:lang w:val="en-US"/>
                    </w:rPr>
                  </w:pPr>
                </w:p>
              </w:tc>
              <w:tc>
                <w:tcPr>
                  <w:tcW w:w="1040" w:type="dxa"/>
                  <w:tcBorders>
                    <w:top w:val="nil"/>
                    <w:left w:val="nil"/>
                    <w:bottom w:val="nil"/>
                    <w:right w:val="nil"/>
                  </w:tcBorders>
                  <w:shd w:val="clear" w:color="auto" w:fill="auto"/>
                  <w:noWrap/>
                  <w:vAlign w:val="bottom"/>
                  <w:hideMark/>
                </w:tcPr>
                <w:p w14:paraId="042CE1F1" w14:textId="77777777" w:rsidR="00447D4E" w:rsidRPr="006D6612" w:rsidRDefault="00447D4E" w:rsidP="00447D4E">
                  <w:pPr>
                    <w:spacing w:after="0" w:line="240" w:lineRule="auto"/>
                    <w:rPr>
                      <w:rFonts w:eastAsia="Times New Roman"/>
                      <w:color w:val="000000"/>
                      <w:sz w:val="24"/>
                      <w:szCs w:val="24"/>
                      <w:lang w:val="en-US"/>
                    </w:rPr>
                  </w:pPr>
                </w:p>
              </w:tc>
            </w:tr>
            <w:tr w:rsidR="00447D4E" w:rsidRPr="006D6612" w14:paraId="561FE0B9" w14:textId="77777777" w:rsidTr="00447D4E">
              <w:trPr>
                <w:trHeight w:val="312"/>
              </w:trPr>
              <w:tc>
                <w:tcPr>
                  <w:tcW w:w="2647" w:type="dxa"/>
                  <w:tcBorders>
                    <w:top w:val="nil"/>
                    <w:left w:val="nil"/>
                    <w:bottom w:val="nil"/>
                    <w:right w:val="nil"/>
                  </w:tcBorders>
                  <w:shd w:val="clear" w:color="auto" w:fill="auto"/>
                  <w:noWrap/>
                  <w:vAlign w:val="bottom"/>
                  <w:hideMark/>
                </w:tcPr>
                <w:p w14:paraId="04E4204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University</w:t>
                  </w:r>
                </w:p>
              </w:tc>
              <w:tc>
                <w:tcPr>
                  <w:tcW w:w="832" w:type="dxa"/>
                  <w:tcBorders>
                    <w:top w:val="nil"/>
                    <w:left w:val="nil"/>
                    <w:bottom w:val="nil"/>
                    <w:right w:val="nil"/>
                  </w:tcBorders>
                  <w:shd w:val="clear" w:color="auto" w:fill="auto"/>
                  <w:noWrap/>
                  <w:vAlign w:val="bottom"/>
                  <w:hideMark/>
                </w:tcPr>
                <w:p w14:paraId="3EB7EE8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HC</w:t>
                  </w:r>
                </w:p>
              </w:tc>
              <w:tc>
                <w:tcPr>
                  <w:tcW w:w="1218" w:type="dxa"/>
                  <w:tcBorders>
                    <w:top w:val="nil"/>
                    <w:left w:val="nil"/>
                    <w:bottom w:val="nil"/>
                    <w:right w:val="nil"/>
                  </w:tcBorders>
                  <w:shd w:val="clear" w:color="auto" w:fill="auto"/>
                  <w:noWrap/>
                  <w:vAlign w:val="bottom"/>
                  <w:hideMark/>
                </w:tcPr>
                <w:p w14:paraId="3146B8F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&gt;50%</w:t>
                  </w:r>
                </w:p>
              </w:tc>
              <w:tc>
                <w:tcPr>
                  <w:tcW w:w="813" w:type="dxa"/>
                  <w:tcBorders>
                    <w:top w:val="nil"/>
                    <w:left w:val="nil"/>
                    <w:bottom w:val="nil"/>
                    <w:right w:val="nil"/>
                  </w:tcBorders>
                  <w:shd w:val="clear" w:color="auto" w:fill="auto"/>
                  <w:noWrap/>
                  <w:vAlign w:val="bottom"/>
                  <w:hideMark/>
                </w:tcPr>
                <w:p w14:paraId="0132A23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P/A</w:t>
                  </w:r>
                </w:p>
              </w:tc>
              <w:tc>
                <w:tcPr>
                  <w:tcW w:w="1190" w:type="dxa"/>
                  <w:tcBorders>
                    <w:top w:val="nil"/>
                    <w:left w:val="nil"/>
                    <w:bottom w:val="nil"/>
                    <w:right w:val="nil"/>
                  </w:tcBorders>
                  <w:shd w:val="clear" w:color="auto" w:fill="auto"/>
                  <w:noWrap/>
                  <w:vAlign w:val="bottom"/>
                  <w:hideMark/>
                </w:tcPr>
                <w:p w14:paraId="0E86D51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&lt;50%</w:t>
                  </w:r>
                </w:p>
              </w:tc>
              <w:tc>
                <w:tcPr>
                  <w:tcW w:w="1340" w:type="dxa"/>
                  <w:tcBorders>
                    <w:top w:val="nil"/>
                    <w:left w:val="nil"/>
                    <w:bottom w:val="nil"/>
                    <w:right w:val="nil"/>
                  </w:tcBorders>
                  <w:shd w:val="clear" w:color="auto" w:fill="auto"/>
                  <w:noWrap/>
                  <w:vAlign w:val="bottom"/>
                  <w:hideMark/>
                </w:tcPr>
                <w:p w14:paraId="65A92EB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P/A</w:t>
                  </w:r>
                </w:p>
              </w:tc>
              <w:tc>
                <w:tcPr>
                  <w:tcW w:w="1340" w:type="dxa"/>
                  <w:tcBorders>
                    <w:top w:val="nil"/>
                    <w:left w:val="nil"/>
                    <w:bottom w:val="nil"/>
                    <w:right w:val="nil"/>
                  </w:tcBorders>
                  <w:shd w:val="clear" w:color="auto" w:fill="auto"/>
                  <w:noWrap/>
                  <w:vAlign w:val="bottom"/>
                  <w:hideMark/>
                </w:tcPr>
                <w:p w14:paraId="26720EA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Top 10%</w:t>
                  </w:r>
                </w:p>
              </w:tc>
              <w:tc>
                <w:tcPr>
                  <w:tcW w:w="1340" w:type="dxa"/>
                  <w:tcBorders>
                    <w:top w:val="nil"/>
                    <w:left w:val="nil"/>
                    <w:bottom w:val="nil"/>
                    <w:right w:val="nil"/>
                  </w:tcBorders>
                  <w:shd w:val="clear" w:color="auto" w:fill="auto"/>
                  <w:noWrap/>
                  <w:vAlign w:val="bottom"/>
                  <w:hideMark/>
                </w:tcPr>
                <w:p w14:paraId="00A877CF"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P/A</w:t>
                  </w:r>
                </w:p>
              </w:tc>
              <w:tc>
                <w:tcPr>
                  <w:tcW w:w="1340" w:type="dxa"/>
                  <w:tcBorders>
                    <w:top w:val="nil"/>
                    <w:left w:val="nil"/>
                    <w:bottom w:val="nil"/>
                    <w:right w:val="nil"/>
                  </w:tcBorders>
                  <w:shd w:val="clear" w:color="auto" w:fill="auto"/>
                  <w:noWrap/>
                  <w:vAlign w:val="bottom"/>
                  <w:hideMark/>
                </w:tcPr>
                <w:p w14:paraId="5A08E59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Total</w:t>
                  </w:r>
                </w:p>
              </w:tc>
              <w:tc>
                <w:tcPr>
                  <w:tcW w:w="1040" w:type="dxa"/>
                  <w:tcBorders>
                    <w:top w:val="nil"/>
                    <w:left w:val="nil"/>
                    <w:bottom w:val="nil"/>
                    <w:right w:val="nil"/>
                  </w:tcBorders>
                  <w:shd w:val="clear" w:color="auto" w:fill="auto"/>
                  <w:noWrap/>
                  <w:vAlign w:val="bottom"/>
                  <w:hideMark/>
                </w:tcPr>
                <w:p w14:paraId="225C9DD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Total P/A</w:t>
                  </w:r>
                </w:p>
              </w:tc>
            </w:tr>
            <w:tr w:rsidR="00447D4E" w:rsidRPr="006D6612" w14:paraId="2181CF04" w14:textId="77777777" w:rsidTr="00447D4E">
              <w:trPr>
                <w:trHeight w:val="312"/>
              </w:trPr>
              <w:tc>
                <w:tcPr>
                  <w:tcW w:w="2647" w:type="dxa"/>
                  <w:tcBorders>
                    <w:top w:val="nil"/>
                    <w:left w:val="nil"/>
                    <w:bottom w:val="nil"/>
                    <w:right w:val="nil"/>
                  </w:tcBorders>
                  <w:shd w:val="clear" w:color="auto" w:fill="auto"/>
                  <w:noWrap/>
                  <w:vAlign w:val="bottom"/>
                  <w:hideMark/>
                </w:tcPr>
                <w:p w14:paraId="1FFD0C1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CUNI</w:t>
                  </w:r>
                </w:p>
              </w:tc>
              <w:tc>
                <w:tcPr>
                  <w:tcW w:w="832" w:type="dxa"/>
                  <w:tcBorders>
                    <w:top w:val="nil"/>
                    <w:left w:val="nil"/>
                    <w:bottom w:val="nil"/>
                    <w:right w:val="nil"/>
                  </w:tcBorders>
                  <w:shd w:val="clear" w:color="auto" w:fill="auto"/>
                  <w:noWrap/>
                  <w:vAlign w:val="bottom"/>
                  <w:hideMark/>
                </w:tcPr>
                <w:p w14:paraId="49C4F9D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436</w:t>
                  </w:r>
                </w:p>
              </w:tc>
              <w:tc>
                <w:tcPr>
                  <w:tcW w:w="1218" w:type="dxa"/>
                  <w:tcBorders>
                    <w:top w:val="nil"/>
                    <w:left w:val="nil"/>
                    <w:bottom w:val="nil"/>
                    <w:right w:val="nil"/>
                  </w:tcBorders>
                  <w:shd w:val="clear" w:color="auto" w:fill="auto"/>
                  <w:noWrap/>
                  <w:vAlign w:val="bottom"/>
                  <w:hideMark/>
                </w:tcPr>
                <w:p w14:paraId="24B164C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400</w:t>
                  </w:r>
                </w:p>
              </w:tc>
              <w:tc>
                <w:tcPr>
                  <w:tcW w:w="813" w:type="dxa"/>
                  <w:tcBorders>
                    <w:top w:val="nil"/>
                    <w:left w:val="nil"/>
                    <w:bottom w:val="nil"/>
                    <w:right w:val="nil"/>
                  </w:tcBorders>
                  <w:shd w:val="clear" w:color="000000" w:fill="C6EFCE"/>
                  <w:noWrap/>
                  <w:vAlign w:val="bottom"/>
                  <w:hideMark/>
                </w:tcPr>
                <w:p w14:paraId="4473FE8F"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0,9</w:t>
                  </w:r>
                </w:p>
              </w:tc>
              <w:tc>
                <w:tcPr>
                  <w:tcW w:w="1190" w:type="dxa"/>
                  <w:tcBorders>
                    <w:top w:val="nil"/>
                    <w:left w:val="nil"/>
                    <w:bottom w:val="nil"/>
                    <w:right w:val="nil"/>
                  </w:tcBorders>
                  <w:shd w:val="clear" w:color="auto" w:fill="auto"/>
                  <w:noWrap/>
                  <w:vAlign w:val="bottom"/>
                  <w:hideMark/>
                </w:tcPr>
                <w:p w14:paraId="30F98CB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235</w:t>
                  </w:r>
                </w:p>
              </w:tc>
              <w:tc>
                <w:tcPr>
                  <w:tcW w:w="1340" w:type="dxa"/>
                  <w:tcBorders>
                    <w:top w:val="nil"/>
                    <w:left w:val="nil"/>
                    <w:bottom w:val="nil"/>
                    <w:right w:val="nil"/>
                  </w:tcBorders>
                  <w:shd w:val="clear" w:color="000000" w:fill="D9E1F2"/>
                  <w:noWrap/>
                  <w:vAlign w:val="bottom"/>
                  <w:hideMark/>
                </w:tcPr>
                <w:p w14:paraId="709911DD"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0,5</w:t>
                  </w:r>
                </w:p>
              </w:tc>
              <w:tc>
                <w:tcPr>
                  <w:tcW w:w="1340" w:type="dxa"/>
                  <w:tcBorders>
                    <w:top w:val="nil"/>
                    <w:left w:val="nil"/>
                    <w:bottom w:val="nil"/>
                    <w:right w:val="nil"/>
                  </w:tcBorders>
                  <w:shd w:val="clear" w:color="auto" w:fill="auto"/>
                  <w:noWrap/>
                  <w:vAlign w:val="bottom"/>
                  <w:hideMark/>
                </w:tcPr>
                <w:p w14:paraId="3B4F3802"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57</w:t>
                  </w:r>
                </w:p>
              </w:tc>
              <w:tc>
                <w:tcPr>
                  <w:tcW w:w="1340" w:type="dxa"/>
                  <w:tcBorders>
                    <w:top w:val="nil"/>
                    <w:left w:val="nil"/>
                    <w:bottom w:val="nil"/>
                    <w:right w:val="nil"/>
                  </w:tcBorders>
                  <w:shd w:val="clear" w:color="auto" w:fill="auto"/>
                  <w:noWrap/>
                  <w:vAlign w:val="bottom"/>
                  <w:hideMark/>
                </w:tcPr>
                <w:p w14:paraId="69246DC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0,13</w:t>
                  </w:r>
                </w:p>
              </w:tc>
              <w:tc>
                <w:tcPr>
                  <w:tcW w:w="1340" w:type="dxa"/>
                  <w:tcBorders>
                    <w:top w:val="nil"/>
                    <w:left w:val="nil"/>
                    <w:bottom w:val="nil"/>
                    <w:right w:val="nil"/>
                  </w:tcBorders>
                  <w:shd w:val="clear" w:color="auto" w:fill="auto"/>
                  <w:noWrap/>
                  <w:vAlign w:val="bottom"/>
                  <w:hideMark/>
                </w:tcPr>
                <w:p w14:paraId="35946F51"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635</w:t>
                  </w:r>
                </w:p>
              </w:tc>
              <w:tc>
                <w:tcPr>
                  <w:tcW w:w="1040" w:type="dxa"/>
                  <w:tcBorders>
                    <w:top w:val="nil"/>
                    <w:left w:val="nil"/>
                    <w:bottom w:val="nil"/>
                    <w:right w:val="nil"/>
                  </w:tcBorders>
                  <w:shd w:val="clear" w:color="000000" w:fill="FFC7CE"/>
                  <w:noWrap/>
                  <w:vAlign w:val="bottom"/>
                  <w:hideMark/>
                </w:tcPr>
                <w:p w14:paraId="1A7F5237"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1,46</w:t>
                  </w:r>
                </w:p>
              </w:tc>
            </w:tr>
            <w:tr w:rsidR="00447D4E" w:rsidRPr="006D6612" w14:paraId="4ABC1EFE" w14:textId="77777777" w:rsidTr="00447D4E">
              <w:trPr>
                <w:trHeight w:val="312"/>
              </w:trPr>
              <w:tc>
                <w:tcPr>
                  <w:tcW w:w="2647" w:type="dxa"/>
                  <w:tcBorders>
                    <w:top w:val="nil"/>
                    <w:left w:val="nil"/>
                    <w:bottom w:val="nil"/>
                    <w:right w:val="nil"/>
                  </w:tcBorders>
                  <w:shd w:val="clear" w:color="auto" w:fill="auto"/>
                  <w:noWrap/>
                  <w:vAlign w:val="bottom"/>
                  <w:hideMark/>
                </w:tcPr>
                <w:p w14:paraId="0BEF876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Heidelberg</w:t>
                  </w:r>
                </w:p>
              </w:tc>
              <w:tc>
                <w:tcPr>
                  <w:tcW w:w="832" w:type="dxa"/>
                  <w:tcBorders>
                    <w:top w:val="nil"/>
                    <w:left w:val="nil"/>
                    <w:bottom w:val="nil"/>
                    <w:right w:val="nil"/>
                  </w:tcBorders>
                  <w:shd w:val="clear" w:color="auto" w:fill="auto"/>
                  <w:noWrap/>
                  <w:vAlign w:val="bottom"/>
                  <w:hideMark/>
                </w:tcPr>
                <w:p w14:paraId="7F2B1232"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364</w:t>
                  </w:r>
                </w:p>
              </w:tc>
              <w:tc>
                <w:tcPr>
                  <w:tcW w:w="1218" w:type="dxa"/>
                  <w:tcBorders>
                    <w:top w:val="nil"/>
                    <w:left w:val="nil"/>
                    <w:bottom w:val="nil"/>
                    <w:right w:val="nil"/>
                  </w:tcBorders>
                  <w:shd w:val="clear" w:color="auto" w:fill="auto"/>
                  <w:noWrap/>
                  <w:vAlign w:val="bottom"/>
                  <w:hideMark/>
                </w:tcPr>
                <w:p w14:paraId="326611CF"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493</w:t>
                  </w:r>
                </w:p>
              </w:tc>
              <w:tc>
                <w:tcPr>
                  <w:tcW w:w="813" w:type="dxa"/>
                  <w:tcBorders>
                    <w:top w:val="nil"/>
                    <w:left w:val="nil"/>
                    <w:bottom w:val="nil"/>
                    <w:right w:val="nil"/>
                  </w:tcBorders>
                  <w:shd w:val="clear" w:color="000000" w:fill="C6EFCE"/>
                  <w:noWrap/>
                  <w:vAlign w:val="bottom"/>
                  <w:hideMark/>
                </w:tcPr>
                <w:p w14:paraId="10C5FF9A"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1,4</w:t>
                  </w:r>
                </w:p>
              </w:tc>
              <w:tc>
                <w:tcPr>
                  <w:tcW w:w="1190" w:type="dxa"/>
                  <w:tcBorders>
                    <w:top w:val="nil"/>
                    <w:left w:val="nil"/>
                    <w:bottom w:val="nil"/>
                    <w:right w:val="nil"/>
                  </w:tcBorders>
                  <w:shd w:val="clear" w:color="auto" w:fill="auto"/>
                  <w:noWrap/>
                  <w:vAlign w:val="bottom"/>
                  <w:hideMark/>
                </w:tcPr>
                <w:p w14:paraId="16EB82C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149</w:t>
                  </w:r>
                </w:p>
              </w:tc>
              <w:tc>
                <w:tcPr>
                  <w:tcW w:w="1340" w:type="dxa"/>
                  <w:tcBorders>
                    <w:top w:val="nil"/>
                    <w:left w:val="nil"/>
                    <w:bottom w:val="nil"/>
                    <w:right w:val="nil"/>
                  </w:tcBorders>
                  <w:shd w:val="clear" w:color="000000" w:fill="D9E1F2"/>
                  <w:noWrap/>
                  <w:vAlign w:val="bottom"/>
                  <w:hideMark/>
                </w:tcPr>
                <w:p w14:paraId="6404B8E0"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0,4</w:t>
                  </w:r>
                </w:p>
              </w:tc>
              <w:tc>
                <w:tcPr>
                  <w:tcW w:w="1340" w:type="dxa"/>
                  <w:tcBorders>
                    <w:top w:val="nil"/>
                    <w:left w:val="nil"/>
                    <w:bottom w:val="nil"/>
                    <w:right w:val="nil"/>
                  </w:tcBorders>
                  <w:shd w:val="clear" w:color="auto" w:fill="auto"/>
                  <w:noWrap/>
                  <w:vAlign w:val="bottom"/>
                  <w:hideMark/>
                </w:tcPr>
                <w:p w14:paraId="2435462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155</w:t>
                  </w:r>
                </w:p>
              </w:tc>
              <w:tc>
                <w:tcPr>
                  <w:tcW w:w="1340" w:type="dxa"/>
                  <w:tcBorders>
                    <w:top w:val="nil"/>
                    <w:left w:val="nil"/>
                    <w:bottom w:val="nil"/>
                    <w:right w:val="nil"/>
                  </w:tcBorders>
                  <w:shd w:val="clear" w:color="auto" w:fill="auto"/>
                  <w:noWrap/>
                  <w:vAlign w:val="bottom"/>
                  <w:hideMark/>
                </w:tcPr>
                <w:p w14:paraId="2AD0819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0,43</w:t>
                  </w:r>
                </w:p>
              </w:tc>
              <w:tc>
                <w:tcPr>
                  <w:tcW w:w="1340" w:type="dxa"/>
                  <w:tcBorders>
                    <w:top w:val="nil"/>
                    <w:left w:val="nil"/>
                    <w:bottom w:val="nil"/>
                    <w:right w:val="nil"/>
                  </w:tcBorders>
                  <w:shd w:val="clear" w:color="auto" w:fill="auto"/>
                  <w:noWrap/>
                  <w:vAlign w:val="bottom"/>
                  <w:hideMark/>
                </w:tcPr>
                <w:p w14:paraId="1C090FC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642</w:t>
                  </w:r>
                </w:p>
              </w:tc>
              <w:tc>
                <w:tcPr>
                  <w:tcW w:w="1040" w:type="dxa"/>
                  <w:tcBorders>
                    <w:top w:val="nil"/>
                    <w:left w:val="nil"/>
                    <w:bottom w:val="nil"/>
                    <w:right w:val="nil"/>
                  </w:tcBorders>
                  <w:shd w:val="clear" w:color="000000" w:fill="FFC7CE"/>
                  <w:noWrap/>
                  <w:vAlign w:val="bottom"/>
                  <w:hideMark/>
                </w:tcPr>
                <w:p w14:paraId="22AFBB96"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1,76</w:t>
                  </w:r>
                </w:p>
              </w:tc>
            </w:tr>
            <w:tr w:rsidR="00447D4E" w:rsidRPr="006D6612" w14:paraId="1280C30E" w14:textId="77777777" w:rsidTr="00447D4E">
              <w:trPr>
                <w:trHeight w:val="312"/>
              </w:trPr>
              <w:tc>
                <w:tcPr>
                  <w:tcW w:w="2647" w:type="dxa"/>
                  <w:tcBorders>
                    <w:top w:val="nil"/>
                    <w:left w:val="nil"/>
                    <w:bottom w:val="nil"/>
                    <w:right w:val="nil"/>
                  </w:tcBorders>
                  <w:shd w:val="clear" w:color="auto" w:fill="auto"/>
                  <w:noWrap/>
                  <w:vAlign w:val="bottom"/>
                  <w:hideMark/>
                </w:tcPr>
                <w:p w14:paraId="2DFDC44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Warsaw</w:t>
                  </w:r>
                </w:p>
              </w:tc>
              <w:tc>
                <w:tcPr>
                  <w:tcW w:w="832" w:type="dxa"/>
                  <w:tcBorders>
                    <w:top w:val="nil"/>
                    <w:left w:val="nil"/>
                    <w:bottom w:val="nil"/>
                    <w:right w:val="nil"/>
                  </w:tcBorders>
                  <w:shd w:val="clear" w:color="auto" w:fill="auto"/>
                  <w:noWrap/>
                  <w:vAlign w:val="bottom"/>
                  <w:hideMark/>
                </w:tcPr>
                <w:p w14:paraId="7B5F8EA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109</w:t>
                  </w:r>
                </w:p>
              </w:tc>
              <w:tc>
                <w:tcPr>
                  <w:tcW w:w="1218" w:type="dxa"/>
                  <w:tcBorders>
                    <w:top w:val="nil"/>
                    <w:left w:val="nil"/>
                    <w:bottom w:val="nil"/>
                    <w:right w:val="nil"/>
                  </w:tcBorders>
                  <w:shd w:val="clear" w:color="auto" w:fill="auto"/>
                  <w:noWrap/>
                  <w:vAlign w:val="bottom"/>
                  <w:hideMark/>
                </w:tcPr>
                <w:p w14:paraId="1BF001E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69</w:t>
                  </w:r>
                </w:p>
              </w:tc>
              <w:tc>
                <w:tcPr>
                  <w:tcW w:w="813" w:type="dxa"/>
                  <w:tcBorders>
                    <w:top w:val="nil"/>
                    <w:left w:val="nil"/>
                    <w:bottom w:val="nil"/>
                    <w:right w:val="nil"/>
                  </w:tcBorders>
                  <w:shd w:val="clear" w:color="000000" w:fill="C6EFCE"/>
                  <w:noWrap/>
                  <w:vAlign w:val="bottom"/>
                  <w:hideMark/>
                </w:tcPr>
                <w:p w14:paraId="61867434"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0,6</w:t>
                  </w:r>
                </w:p>
              </w:tc>
              <w:tc>
                <w:tcPr>
                  <w:tcW w:w="1190" w:type="dxa"/>
                  <w:tcBorders>
                    <w:top w:val="nil"/>
                    <w:left w:val="nil"/>
                    <w:bottom w:val="nil"/>
                    <w:right w:val="nil"/>
                  </w:tcBorders>
                  <w:shd w:val="clear" w:color="auto" w:fill="auto"/>
                  <w:noWrap/>
                  <w:vAlign w:val="bottom"/>
                  <w:hideMark/>
                </w:tcPr>
                <w:p w14:paraId="7E24D4F1"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33</w:t>
                  </w:r>
                </w:p>
              </w:tc>
              <w:tc>
                <w:tcPr>
                  <w:tcW w:w="1340" w:type="dxa"/>
                  <w:tcBorders>
                    <w:top w:val="nil"/>
                    <w:left w:val="nil"/>
                    <w:bottom w:val="nil"/>
                    <w:right w:val="nil"/>
                  </w:tcBorders>
                  <w:shd w:val="clear" w:color="000000" w:fill="D9E1F2"/>
                  <w:noWrap/>
                  <w:vAlign w:val="bottom"/>
                  <w:hideMark/>
                </w:tcPr>
                <w:p w14:paraId="660A0A86"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0,3</w:t>
                  </w:r>
                </w:p>
              </w:tc>
              <w:tc>
                <w:tcPr>
                  <w:tcW w:w="1340" w:type="dxa"/>
                  <w:tcBorders>
                    <w:top w:val="nil"/>
                    <w:left w:val="nil"/>
                    <w:bottom w:val="nil"/>
                    <w:right w:val="nil"/>
                  </w:tcBorders>
                  <w:shd w:val="clear" w:color="auto" w:fill="auto"/>
                  <w:noWrap/>
                  <w:vAlign w:val="bottom"/>
                  <w:hideMark/>
                </w:tcPr>
                <w:p w14:paraId="2A42A2F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12</w:t>
                  </w:r>
                </w:p>
              </w:tc>
              <w:tc>
                <w:tcPr>
                  <w:tcW w:w="1340" w:type="dxa"/>
                  <w:tcBorders>
                    <w:top w:val="nil"/>
                    <w:left w:val="nil"/>
                    <w:bottom w:val="nil"/>
                    <w:right w:val="nil"/>
                  </w:tcBorders>
                  <w:shd w:val="clear" w:color="auto" w:fill="auto"/>
                  <w:noWrap/>
                  <w:vAlign w:val="bottom"/>
                  <w:hideMark/>
                </w:tcPr>
                <w:p w14:paraId="5972302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0,11</w:t>
                  </w:r>
                </w:p>
              </w:tc>
              <w:tc>
                <w:tcPr>
                  <w:tcW w:w="1340" w:type="dxa"/>
                  <w:tcBorders>
                    <w:top w:val="nil"/>
                    <w:left w:val="nil"/>
                    <w:bottom w:val="nil"/>
                    <w:right w:val="nil"/>
                  </w:tcBorders>
                  <w:shd w:val="clear" w:color="auto" w:fill="auto"/>
                  <w:noWrap/>
                  <w:vAlign w:val="bottom"/>
                  <w:hideMark/>
                </w:tcPr>
                <w:p w14:paraId="0CAEF76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102</w:t>
                  </w:r>
                </w:p>
              </w:tc>
              <w:tc>
                <w:tcPr>
                  <w:tcW w:w="1040" w:type="dxa"/>
                  <w:tcBorders>
                    <w:top w:val="nil"/>
                    <w:left w:val="nil"/>
                    <w:bottom w:val="nil"/>
                    <w:right w:val="nil"/>
                  </w:tcBorders>
                  <w:shd w:val="clear" w:color="000000" w:fill="FFC7CE"/>
                  <w:noWrap/>
                  <w:vAlign w:val="bottom"/>
                  <w:hideMark/>
                </w:tcPr>
                <w:p w14:paraId="2F560814"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0,94</w:t>
                  </w:r>
                </w:p>
              </w:tc>
            </w:tr>
            <w:tr w:rsidR="00447D4E" w:rsidRPr="006D6612" w14:paraId="0E511FC8" w14:textId="77777777" w:rsidTr="00447D4E">
              <w:trPr>
                <w:trHeight w:val="312"/>
              </w:trPr>
              <w:tc>
                <w:tcPr>
                  <w:tcW w:w="2647" w:type="dxa"/>
                  <w:tcBorders>
                    <w:top w:val="nil"/>
                    <w:left w:val="nil"/>
                    <w:bottom w:val="nil"/>
                    <w:right w:val="nil"/>
                  </w:tcBorders>
                  <w:shd w:val="clear" w:color="auto" w:fill="auto"/>
                  <w:noWrap/>
                  <w:vAlign w:val="bottom"/>
                  <w:hideMark/>
                </w:tcPr>
                <w:p w14:paraId="70C7B71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Copenhagen</w:t>
                  </w:r>
                </w:p>
              </w:tc>
              <w:tc>
                <w:tcPr>
                  <w:tcW w:w="832" w:type="dxa"/>
                  <w:tcBorders>
                    <w:top w:val="nil"/>
                    <w:left w:val="nil"/>
                    <w:bottom w:val="nil"/>
                    <w:right w:val="nil"/>
                  </w:tcBorders>
                  <w:shd w:val="clear" w:color="auto" w:fill="auto"/>
                  <w:noWrap/>
                  <w:vAlign w:val="bottom"/>
                  <w:hideMark/>
                </w:tcPr>
                <w:p w14:paraId="38C8DB3B"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755</w:t>
                  </w:r>
                </w:p>
              </w:tc>
              <w:tc>
                <w:tcPr>
                  <w:tcW w:w="1218" w:type="dxa"/>
                  <w:tcBorders>
                    <w:top w:val="nil"/>
                    <w:left w:val="nil"/>
                    <w:bottom w:val="nil"/>
                    <w:right w:val="nil"/>
                  </w:tcBorders>
                  <w:shd w:val="clear" w:color="auto" w:fill="auto"/>
                  <w:noWrap/>
                  <w:vAlign w:val="bottom"/>
                  <w:hideMark/>
                </w:tcPr>
                <w:p w14:paraId="0C8F3E7A"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1.221</w:t>
                  </w:r>
                </w:p>
              </w:tc>
              <w:tc>
                <w:tcPr>
                  <w:tcW w:w="813" w:type="dxa"/>
                  <w:tcBorders>
                    <w:top w:val="nil"/>
                    <w:left w:val="nil"/>
                    <w:bottom w:val="nil"/>
                    <w:right w:val="nil"/>
                  </w:tcBorders>
                  <w:shd w:val="clear" w:color="000000" w:fill="C6EFCE"/>
                  <w:noWrap/>
                  <w:vAlign w:val="bottom"/>
                  <w:hideMark/>
                </w:tcPr>
                <w:p w14:paraId="6E5C9234"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1,6</w:t>
                  </w:r>
                </w:p>
              </w:tc>
              <w:tc>
                <w:tcPr>
                  <w:tcW w:w="1190" w:type="dxa"/>
                  <w:tcBorders>
                    <w:top w:val="nil"/>
                    <w:left w:val="nil"/>
                    <w:bottom w:val="nil"/>
                    <w:right w:val="nil"/>
                  </w:tcBorders>
                  <w:shd w:val="clear" w:color="auto" w:fill="auto"/>
                  <w:noWrap/>
                  <w:vAlign w:val="bottom"/>
                  <w:hideMark/>
                </w:tcPr>
                <w:p w14:paraId="7061C47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245</w:t>
                  </w:r>
                </w:p>
              </w:tc>
              <w:tc>
                <w:tcPr>
                  <w:tcW w:w="1340" w:type="dxa"/>
                  <w:tcBorders>
                    <w:top w:val="nil"/>
                    <w:left w:val="nil"/>
                    <w:bottom w:val="nil"/>
                    <w:right w:val="nil"/>
                  </w:tcBorders>
                  <w:shd w:val="clear" w:color="000000" w:fill="D9E1F2"/>
                  <w:noWrap/>
                  <w:vAlign w:val="bottom"/>
                  <w:hideMark/>
                </w:tcPr>
                <w:p w14:paraId="71BAA82C"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0,3</w:t>
                  </w:r>
                </w:p>
              </w:tc>
              <w:tc>
                <w:tcPr>
                  <w:tcW w:w="1340" w:type="dxa"/>
                  <w:tcBorders>
                    <w:top w:val="nil"/>
                    <w:left w:val="nil"/>
                    <w:bottom w:val="nil"/>
                    <w:right w:val="nil"/>
                  </w:tcBorders>
                  <w:shd w:val="clear" w:color="auto" w:fill="auto"/>
                  <w:noWrap/>
                  <w:vAlign w:val="bottom"/>
                  <w:hideMark/>
                </w:tcPr>
                <w:p w14:paraId="20D2A0F0"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273</w:t>
                  </w:r>
                </w:p>
              </w:tc>
              <w:tc>
                <w:tcPr>
                  <w:tcW w:w="1340" w:type="dxa"/>
                  <w:tcBorders>
                    <w:top w:val="nil"/>
                    <w:left w:val="nil"/>
                    <w:bottom w:val="nil"/>
                    <w:right w:val="nil"/>
                  </w:tcBorders>
                  <w:shd w:val="clear" w:color="auto" w:fill="auto"/>
                  <w:noWrap/>
                  <w:vAlign w:val="bottom"/>
                  <w:hideMark/>
                </w:tcPr>
                <w:p w14:paraId="4B74E1E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0,36</w:t>
                  </w:r>
                </w:p>
              </w:tc>
              <w:tc>
                <w:tcPr>
                  <w:tcW w:w="1340" w:type="dxa"/>
                  <w:tcBorders>
                    <w:top w:val="nil"/>
                    <w:left w:val="nil"/>
                    <w:bottom w:val="nil"/>
                    <w:right w:val="nil"/>
                  </w:tcBorders>
                  <w:shd w:val="clear" w:color="auto" w:fill="auto"/>
                  <w:noWrap/>
                  <w:vAlign w:val="bottom"/>
                  <w:hideMark/>
                </w:tcPr>
                <w:p w14:paraId="5E0AC55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1.466</w:t>
                  </w:r>
                </w:p>
              </w:tc>
              <w:tc>
                <w:tcPr>
                  <w:tcW w:w="1040" w:type="dxa"/>
                  <w:tcBorders>
                    <w:top w:val="nil"/>
                    <w:left w:val="nil"/>
                    <w:bottom w:val="nil"/>
                    <w:right w:val="nil"/>
                  </w:tcBorders>
                  <w:shd w:val="clear" w:color="000000" w:fill="FFC7CE"/>
                  <w:noWrap/>
                  <w:vAlign w:val="bottom"/>
                  <w:hideMark/>
                </w:tcPr>
                <w:p w14:paraId="5E416874"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1,94</w:t>
                  </w:r>
                </w:p>
              </w:tc>
            </w:tr>
            <w:tr w:rsidR="00447D4E" w:rsidRPr="006D6612" w14:paraId="3C68C41E" w14:textId="77777777" w:rsidTr="00447D4E">
              <w:trPr>
                <w:trHeight w:val="312"/>
              </w:trPr>
              <w:tc>
                <w:tcPr>
                  <w:tcW w:w="2647" w:type="dxa"/>
                  <w:tcBorders>
                    <w:top w:val="nil"/>
                    <w:left w:val="nil"/>
                    <w:bottom w:val="nil"/>
                    <w:right w:val="nil"/>
                  </w:tcBorders>
                  <w:shd w:val="clear" w:color="auto" w:fill="auto"/>
                  <w:noWrap/>
                  <w:vAlign w:val="bottom"/>
                  <w:hideMark/>
                </w:tcPr>
                <w:p w14:paraId="593CF5E0"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Milan</w:t>
                  </w:r>
                </w:p>
              </w:tc>
              <w:tc>
                <w:tcPr>
                  <w:tcW w:w="832" w:type="dxa"/>
                  <w:tcBorders>
                    <w:top w:val="nil"/>
                    <w:left w:val="nil"/>
                    <w:bottom w:val="nil"/>
                    <w:right w:val="nil"/>
                  </w:tcBorders>
                  <w:shd w:val="clear" w:color="auto" w:fill="auto"/>
                  <w:noWrap/>
                  <w:vAlign w:val="bottom"/>
                  <w:hideMark/>
                </w:tcPr>
                <w:p w14:paraId="12B1716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482</w:t>
                  </w:r>
                </w:p>
              </w:tc>
              <w:tc>
                <w:tcPr>
                  <w:tcW w:w="1218" w:type="dxa"/>
                  <w:tcBorders>
                    <w:top w:val="nil"/>
                    <w:left w:val="nil"/>
                    <w:bottom w:val="nil"/>
                    <w:right w:val="nil"/>
                  </w:tcBorders>
                  <w:shd w:val="clear" w:color="auto" w:fill="auto"/>
                  <w:noWrap/>
                  <w:vAlign w:val="bottom"/>
                  <w:hideMark/>
                </w:tcPr>
                <w:p w14:paraId="3C57A2BB"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765</w:t>
                  </w:r>
                </w:p>
              </w:tc>
              <w:tc>
                <w:tcPr>
                  <w:tcW w:w="813" w:type="dxa"/>
                  <w:tcBorders>
                    <w:top w:val="nil"/>
                    <w:left w:val="nil"/>
                    <w:bottom w:val="nil"/>
                    <w:right w:val="nil"/>
                  </w:tcBorders>
                  <w:shd w:val="clear" w:color="000000" w:fill="C6EFCE"/>
                  <w:noWrap/>
                  <w:vAlign w:val="bottom"/>
                  <w:hideMark/>
                </w:tcPr>
                <w:p w14:paraId="090AA984"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1,6</w:t>
                  </w:r>
                </w:p>
              </w:tc>
              <w:tc>
                <w:tcPr>
                  <w:tcW w:w="1190" w:type="dxa"/>
                  <w:tcBorders>
                    <w:top w:val="nil"/>
                    <w:left w:val="nil"/>
                    <w:bottom w:val="nil"/>
                    <w:right w:val="nil"/>
                  </w:tcBorders>
                  <w:shd w:val="clear" w:color="auto" w:fill="auto"/>
                  <w:noWrap/>
                  <w:vAlign w:val="bottom"/>
                  <w:hideMark/>
                </w:tcPr>
                <w:p w14:paraId="7915EEA9"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276</w:t>
                  </w:r>
                </w:p>
              </w:tc>
              <w:tc>
                <w:tcPr>
                  <w:tcW w:w="1340" w:type="dxa"/>
                  <w:tcBorders>
                    <w:top w:val="nil"/>
                    <w:left w:val="nil"/>
                    <w:bottom w:val="nil"/>
                    <w:right w:val="nil"/>
                  </w:tcBorders>
                  <w:shd w:val="clear" w:color="000000" w:fill="D9E1F2"/>
                  <w:noWrap/>
                  <w:vAlign w:val="bottom"/>
                  <w:hideMark/>
                </w:tcPr>
                <w:p w14:paraId="5971D50F"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0,6</w:t>
                  </w:r>
                </w:p>
              </w:tc>
              <w:tc>
                <w:tcPr>
                  <w:tcW w:w="1340" w:type="dxa"/>
                  <w:tcBorders>
                    <w:top w:val="nil"/>
                    <w:left w:val="nil"/>
                    <w:bottom w:val="nil"/>
                    <w:right w:val="nil"/>
                  </w:tcBorders>
                  <w:shd w:val="clear" w:color="auto" w:fill="auto"/>
                  <w:noWrap/>
                  <w:vAlign w:val="bottom"/>
                  <w:hideMark/>
                </w:tcPr>
                <w:p w14:paraId="7F079077"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169</w:t>
                  </w:r>
                </w:p>
              </w:tc>
              <w:tc>
                <w:tcPr>
                  <w:tcW w:w="1340" w:type="dxa"/>
                  <w:tcBorders>
                    <w:top w:val="nil"/>
                    <w:left w:val="nil"/>
                    <w:bottom w:val="nil"/>
                    <w:right w:val="nil"/>
                  </w:tcBorders>
                  <w:shd w:val="clear" w:color="auto" w:fill="auto"/>
                  <w:noWrap/>
                  <w:vAlign w:val="bottom"/>
                  <w:hideMark/>
                </w:tcPr>
                <w:p w14:paraId="603E144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0,35</w:t>
                  </w:r>
                </w:p>
              </w:tc>
              <w:tc>
                <w:tcPr>
                  <w:tcW w:w="1340" w:type="dxa"/>
                  <w:tcBorders>
                    <w:top w:val="nil"/>
                    <w:left w:val="nil"/>
                    <w:bottom w:val="nil"/>
                    <w:right w:val="nil"/>
                  </w:tcBorders>
                  <w:shd w:val="clear" w:color="auto" w:fill="auto"/>
                  <w:noWrap/>
                  <w:vAlign w:val="bottom"/>
                  <w:hideMark/>
                </w:tcPr>
                <w:p w14:paraId="489CA2C3"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1.041</w:t>
                  </w:r>
                </w:p>
              </w:tc>
              <w:tc>
                <w:tcPr>
                  <w:tcW w:w="1040" w:type="dxa"/>
                  <w:tcBorders>
                    <w:top w:val="nil"/>
                    <w:left w:val="nil"/>
                    <w:bottom w:val="nil"/>
                    <w:right w:val="nil"/>
                  </w:tcBorders>
                  <w:shd w:val="clear" w:color="000000" w:fill="FFC7CE"/>
                  <w:noWrap/>
                  <w:vAlign w:val="bottom"/>
                  <w:hideMark/>
                </w:tcPr>
                <w:p w14:paraId="3C1CEACE"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2,16</w:t>
                  </w:r>
                </w:p>
              </w:tc>
            </w:tr>
            <w:tr w:rsidR="00447D4E" w:rsidRPr="006D6612" w14:paraId="5F3A1B7C" w14:textId="77777777" w:rsidTr="00447D4E">
              <w:trPr>
                <w:trHeight w:val="312"/>
              </w:trPr>
              <w:tc>
                <w:tcPr>
                  <w:tcW w:w="2647" w:type="dxa"/>
                  <w:tcBorders>
                    <w:top w:val="nil"/>
                    <w:left w:val="nil"/>
                    <w:bottom w:val="nil"/>
                    <w:right w:val="nil"/>
                  </w:tcBorders>
                  <w:shd w:val="clear" w:color="auto" w:fill="auto"/>
                  <w:noWrap/>
                  <w:vAlign w:val="bottom"/>
                  <w:hideMark/>
                </w:tcPr>
                <w:p w14:paraId="1A38803A"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Vienna</w:t>
                  </w:r>
                </w:p>
              </w:tc>
              <w:tc>
                <w:tcPr>
                  <w:tcW w:w="832" w:type="dxa"/>
                  <w:tcBorders>
                    <w:top w:val="nil"/>
                    <w:left w:val="nil"/>
                    <w:bottom w:val="nil"/>
                    <w:right w:val="nil"/>
                  </w:tcBorders>
                  <w:shd w:val="clear" w:color="auto" w:fill="auto"/>
                  <w:noWrap/>
                  <w:vAlign w:val="bottom"/>
                  <w:hideMark/>
                </w:tcPr>
                <w:p w14:paraId="049BF5EF"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195</w:t>
                  </w:r>
                </w:p>
              </w:tc>
              <w:tc>
                <w:tcPr>
                  <w:tcW w:w="1218" w:type="dxa"/>
                  <w:tcBorders>
                    <w:top w:val="nil"/>
                    <w:left w:val="nil"/>
                    <w:bottom w:val="nil"/>
                    <w:right w:val="nil"/>
                  </w:tcBorders>
                  <w:shd w:val="clear" w:color="auto" w:fill="auto"/>
                  <w:noWrap/>
                  <w:vAlign w:val="bottom"/>
                  <w:hideMark/>
                </w:tcPr>
                <w:p w14:paraId="6E368286"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226</w:t>
                  </w:r>
                </w:p>
              </w:tc>
              <w:tc>
                <w:tcPr>
                  <w:tcW w:w="813" w:type="dxa"/>
                  <w:tcBorders>
                    <w:top w:val="nil"/>
                    <w:left w:val="nil"/>
                    <w:bottom w:val="nil"/>
                    <w:right w:val="nil"/>
                  </w:tcBorders>
                  <w:shd w:val="clear" w:color="000000" w:fill="C6EFCE"/>
                  <w:noWrap/>
                  <w:vAlign w:val="bottom"/>
                  <w:hideMark/>
                </w:tcPr>
                <w:p w14:paraId="3C3A516E"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1,2</w:t>
                  </w:r>
                </w:p>
              </w:tc>
              <w:tc>
                <w:tcPr>
                  <w:tcW w:w="1190" w:type="dxa"/>
                  <w:tcBorders>
                    <w:top w:val="nil"/>
                    <w:left w:val="nil"/>
                    <w:bottom w:val="nil"/>
                    <w:right w:val="nil"/>
                  </w:tcBorders>
                  <w:shd w:val="clear" w:color="auto" w:fill="auto"/>
                  <w:noWrap/>
                  <w:vAlign w:val="bottom"/>
                  <w:hideMark/>
                </w:tcPr>
                <w:p w14:paraId="2452C17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73</w:t>
                  </w:r>
                </w:p>
              </w:tc>
              <w:tc>
                <w:tcPr>
                  <w:tcW w:w="1340" w:type="dxa"/>
                  <w:tcBorders>
                    <w:top w:val="nil"/>
                    <w:left w:val="nil"/>
                    <w:bottom w:val="nil"/>
                    <w:right w:val="nil"/>
                  </w:tcBorders>
                  <w:shd w:val="clear" w:color="000000" w:fill="D9E1F2"/>
                  <w:noWrap/>
                  <w:vAlign w:val="bottom"/>
                  <w:hideMark/>
                </w:tcPr>
                <w:p w14:paraId="15D4467A"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0,4</w:t>
                  </w:r>
                </w:p>
              </w:tc>
              <w:tc>
                <w:tcPr>
                  <w:tcW w:w="1340" w:type="dxa"/>
                  <w:tcBorders>
                    <w:top w:val="nil"/>
                    <w:left w:val="nil"/>
                    <w:bottom w:val="nil"/>
                    <w:right w:val="nil"/>
                  </w:tcBorders>
                  <w:shd w:val="clear" w:color="auto" w:fill="auto"/>
                  <w:noWrap/>
                  <w:vAlign w:val="bottom"/>
                  <w:hideMark/>
                </w:tcPr>
                <w:p w14:paraId="0BA066C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46</w:t>
                  </w:r>
                </w:p>
              </w:tc>
              <w:tc>
                <w:tcPr>
                  <w:tcW w:w="1340" w:type="dxa"/>
                  <w:tcBorders>
                    <w:top w:val="nil"/>
                    <w:left w:val="nil"/>
                    <w:bottom w:val="nil"/>
                    <w:right w:val="nil"/>
                  </w:tcBorders>
                  <w:shd w:val="clear" w:color="auto" w:fill="auto"/>
                  <w:noWrap/>
                  <w:vAlign w:val="bottom"/>
                  <w:hideMark/>
                </w:tcPr>
                <w:p w14:paraId="23948DF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0,24</w:t>
                  </w:r>
                </w:p>
              </w:tc>
              <w:tc>
                <w:tcPr>
                  <w:tcW w:w="1340" w:type="dxa"/>
                  <w:tcBorders>
                    <w:top w:val="nil"/>
                    <w:left w:val="nil"/>
                    <w:bottom w:val="nil"/>
                    <w:right w:val="nil"/>
                  </w:tcBorders>
                  <w:shd w:val="clear" w:color="auto" w:fill="auto"/>
                  <w:noWrap/>
                  <w:vAlign w:val="bottom"/>
                  <w:hideMark/>
                </w:tcPr>
                <w:p w14:paraId="1516AE6C"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299</w:t>
                  </w:r>
                </w:p>
              </w:tc>
              <w:tc>
                <w:tcPr>
                  <w:tcW w:w="1040" w:type="dxa"/>
                  <w:tcBorders>
                    <w:top w:val="nil"/>
                    <w:left w:val="nil"/>
                    <w:bottom w:val="nil"/>
                    <w:right w:val="nil"/>
                  </w:tcBorders>
                  <w:shd w:val="clear" w:color="000000" w:fill="FFC7CE"/>
                  <w:noWrap/>
                  <w:vAlign w:val="bottom"/>
                  <w:hideMark/>
                </w:tcPr>
                <w:p w14:paraId="222E247A"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1,53</w:t>
                  </w:r>
                </w:p>
              </w:tc>
            </w:tr>
            <w:tr w:rsidR="00447D4E" w:rsidRPr="006D6612" w14:paraId="4BEB0D67" w14:textId="77777777" w:rsidTr="00447D4E">
              <w:trPr>
                <w:trHeight w:val="312"/>
              </w:trPr>
              <w:tc>
                <w:tcPr>
                  <w:tcW w:w="2647" w:type="dxa"/>
                  <w:tcBorders>
                    <w:top w:val="nil"/>
                    <w:left w:val="nil"/>
                    <w:bottom w:val="nil"/>
                    <w:right w:val="nil"/>
                  </w:tcBorders>
                  <w:shd w:val="clear" w:color="auto" w:fill="auto"/>
                  <w:noWrap/>
                  <w:vAlign w:val="bottom"/>
                  <w:hideMark/>
                </w:tcPr>
                <w:p w14:paraId="533D429B"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Leuven</w:t>
                  </w:r>
                </w:p>
              </w:tc>
              <w:tc>
                <w:tcPr>
                  <w:tcW w:w="832" w:type="dxa"/>
                  <w:tcBorders>
                    <w:top w:val="nil"/>
                    <w:left w:val="nil"/>
                    <w:bottom w:val="nil"/>
                    <w:right w:val="nil"/>
                  </w:tcBorders>
                  <w:shd w:val="clear" w:color="auto" w:fill="auto"/>
                  <w:noWrap/>
                  <w:vAlign w:val="bottom"/>
                  <w:hideMark/>
                </w:tcPr>
                <w:p w14:paraId="703116FD"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392</w:t>
                  </w:r>
                </w:p>
              </w:tc>
              <w:tc>
                <w:tcPr>
                  <w:tcW w:w="1218" w:type="dxa"/>
                  <w:tcBorders>
                    <w:top w:val="nil"/>
                    <w:left w:val="nil"/>
                    <w:bottom w:val="nil"/>
                    <w:right w:val="nil"/>
                  </w:tcBorders>
                  <w:shd w:val="clear" w:color="auto" w:fill="auto"/>
                  <w:noWrap/>
                  <w:vAlign w:val="bottom"/>
                  <w:hideMark/>
                </w:tcPr>
                <w:p w14:paraId="264BCA38"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766</w:t>
                  </w:r>
                </w:p>
              </w:tc>
              <w:tc>
                <w:tcPr>
                  <w:tcW w:w="813" w:type="dxa"/>
                  <w:tcBorders>
                    <w:top w:val="nil"/>
                    <w:left w:val="nil"/>
                    <w:bottom w:val="nil"/>
                    <w:right w:val="nil"/>
                  </w:tcBorders>
                  <w:shd w:val="clear" w:color="000000" w:fill="C6EFCE"/>
                  <w:noWrap/>
                  <w:vAlign w:val="bottom"/>
                  <w:hideMark/>
                </w:tcPr>
                <w:p w14:paraId="449985CF" w14:textId="77777777" w:rsidR="00447D4E" w:rsidRPr="006D6612" w:rsidRDefault="00447D4E" w:rsidP="00447D4E">
                  <w:pPr>
                    <w:spacing w:after="0" w:line="240" w:lineRule="auto"/>
                    <w:rPr>
                      <w:rFonts w:eastAsia="Times New Roman"/>
                      <w:color w:val="006100"/>
                      <w:lang w:val="en-US"/>
                    </w:rPr>
                  </w:pPr>
                  <w:r w:rsidRPr="006D6612">
                    <w:rPr>
                      <w:rFonts w:eastAsia="Times New Roman"/>
                      <w:color w:val="006100"/>
                      <w:lang w:val="en-US"/>
                    </w:rPr>
                    <w:t>2,0</w:t>
                  </w:r>
                </w:p>
              </w:tc>
              <w:tc>
                <w:tcPr>
                  <w:tcW w:w="1190" w:type="dxa"/>
                  <w:tcBorders>
                    <w:top w:val="nil"/>
                    <w:left w:val="nil"/>
                    <w:bottom w:val="nil"/>
                    <w:right w:val="nil"/>
                  </w:tcBorders>
                  <w:shd w:val="clear" w:color="auto" w:fill="auto"/>
                  <w:noWrap/>
                  <w:vAlign w:val="bottom"/>
                  <w:hideMark/>
                </w:tcPr>
                <w:p w14:paraId="50AF2A45"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196</w:t>
                  </w:r>
                </w:p>
              </w:tc>
              <w:tc>
                <w:tcPr>
                  <w:tcW w:w="1340" w:type="dxa"/>
                  <w:tcBorders>
                    <w:top w:val="nil"/>
                    <w:left w:val="nil"/>
                    <w:bottom w:val="nil"/>
                    <w:right w:val="nil"/>
                  </w:tcBorders>
                  <w:shd w:val="clear" w:color="000000" w:fill="D9E1F2"/>
                  <w:noWrap/>
                  <w:vAlign w:val="bottom"/>
                  <w:hideMark/>
                </w:tcPr>
                <w:p w14:paraId="6AF56B43" w14:textId="77777777" w:rsidR="00447D4E" w:rsidRPr="006D6612" w:rsidRDefault="00447D4E" w:rsidP="00447D4E">
                  <w:pPr>
                    <w:spacing w:after="0" w:line="240" w:lineRule="auto"/>
                    <w:rPr>
                      <w:rFonts w:eastAsia="Times New Roman"/>
                      <w:color w:val="000000"/>
                      <w:lang w:val="en-US"/>
                    </w:rPr>
                  </w:pPr>
                  <w:r w:rsidRPr="006D6612">
                    <w:rPr>
                      <w:rFonts w:eastAsia="Times New Roman"/>
                      <w:color w:val="000000"/>
                      <w:lang w:val="en-US"/>
                    </w:rPr>
                    <w:t>0,5</w:t>
                  </w:r>
                </w:p>
              </w:tc>
              <w:tc>
                <w:tcPr>
                  <w:tcW w:w="1340" w:type="dxa"/>
                  <w:tcBorders>
                    <w:top w:val="nil"/>
                    <w:left w:val="nil"/>
                    <w:bottom w:val="nil"/>
                    <w:right w:val="nil"/>
                  </w:tcBorders>
                  <w:shd w:val="clear" w:color="auto" w:fill="auto"/>
                  <w:noWrap/>
                  <w:vAlign w:val="bottom"/>
                  <w:hideMark/>
                </w:tcPr>
                <w:p w14:paraId="6420CD24"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203</w:t>
                  </w:r>
                </w:p>
              </w:tc>
              <w:tc>
                <w:tcPr>
                  <w:tcW w:w="1340" w:type="dxa"/>
                  <w:tcBorders>
                    <w:top w:val="nil"/>
                    <w:left w:val="nil"/>
                    <w:bottom w:val="nil"/>
                    <w:right w:val="nil"/>
                  </w:tcBorders>
                  <w:shd w:val="clear" w:color="auto" w:fill="auto"/>
                  <w:noWrap/>
                  <w:vAlign w:val="bottom"/>
                  <w:hideMark/>
                </w:tcPr>
                <w:p w14:paraId="596ADC2E"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0,52</w:t>
                  </w:r>
                </w:p>
              </w:tc>
              <w:tc>
                <w:tcPr>
                  <w:tcW w:w="1340" w:type="dxa"/>
                  <w:tcBorders>
                    <w:top w:val="nil"/>
                    <w:left w:val="nil"/>
                    <w:bottom w:val="nil"/>
                    <w:right w:val="nil"/>
                  </w:tcBorders>
                  <w:shd w:val="clear" w:color="auto" w:fill="auto"/>
                  <w:noWrap/>
                  <w:vAlign w:val="bottom"/>
                  <w:hideMark/>
                </w:tcPr>
                <w:p w14:paraId="738DC572" w14:textId="77777777" w:rsidR="00447D4E" w:rsidRPr="006D6612" w:rsidRDefault="00447D4E" w:rsidP="00447D4E">
                  <w:pPr>
                    <w:spacing w:after="0" w:line="240" w:lineRule="auto"/>
                    <w:rPr>
                      <w:rFonts w:eastAsia="Times New Roman"/>
                      <w:color w:val="000000"/>
                      <w:sz w:val="24"/>
                      <w:szCs w:val="24"/>
                      <w:lang w:val="en-US"/>
                    </w:rPr>
                  </w:pPr>
                  <w:r w:rsidRPr="006D6612">
                    <w:rPr>
                      <w:rFonts w:eastAsia="Times New Roman"/>
                      <w:color w:val="000000"/>
                      <w:sz w:val="24"/>
                      <w:szCs w:val="24"/>
                      <w:lang w:val="en-US"/>
                    </w:rPr>
                    <w:t>962</w:t>
                  </w:r>
                </w:p>
              </w:tc>
              <w:tc>
                <w:tcPr>
                  <w:tcW w:w="1040" w:type="dxa"/>
                  <w:tcBorders>
                    <w:top w:val="nil"/>
                    <w:left w:val="nil"/>
                    <w:bottom w:val="nil"/>
                    <w:right w:val="nil"/>
                  </w:tcBorders>
                  <w:shd w:val="clear" w:color="000000" w:fill="FFC7CE"/>
                  <w:noWrap/>
                  <w:vAlign w:val="bottom"/>
                  <w:hideMark/>
                </w:tcPr>
                <w:p w14:paraId="20DCA678" w14:textId="77777777" w:rsidR="00447D4E" w:rsidRPr="006D6612" w:rsidRDefault="00447D4E" w:rsidP="00447D4E">
                  <w:pPr>
                    <w:spacing w:after="0" w:line="240" w:lineRule="auto"/>
                    <w:rPr>
                      <w:rFonts w:eastAsia="Times New Roman"/>
                      <w:color w:val="9C0006"/>
                      <w:lang w:val="en-US"/>
                    </w:rPr>
                  </w:pPr>
                  <w:r w:rsidRPr="006D6612">
                    <w:rPr>
                      <w:rFonts w:eastAsia="Times New Roman"/>
                      <w:color w:val="9C0006"/>
                      <w:lang w:val="en-US"/>
                    </w:rPr>
                    <w:t>2,45</w:t>
                  </w:r>
                </w:p>
              </w:tc>
            </w:tr>
          </w:tbl>
          <w:p w14:paraId="734AF44B" w14:textId="136E1105" w:rsidR="00447D4E" w:rsidRPr="00AC72BF" w:rsidRDefault="00447D4E" w:rsidP="003672BA">
            <w:pPr>
              <w:ind w:right="93"/>
              <w:rPr>
                <w:rFonts w:ascii="Times New Roman" w:hAnsi="Times New Roman"/>
                <w:sz w:val="24"/>
                <w:szCs w:val="24"/>
                <w:lang w:val="en-US"/>
              </w:rPr>
            </w:pPr>
            <w:r>
              <w:rPr>
                <w:rFonts w:ascii="Helvetica" w:hAnsi="Helvetica" w:cs="Helvetica"/>
                <w:noProof/>
                <w:sz w:val="32"/>
                <w:szCs w:val="32"/>
                <w:lang w:eastAsia="cs-CZ"/>
              </w:rPr>
              <w:lastRenderedPageBreak/>
              <w:drawing>
                <wp:inline distT="0" distB="0" distL="0" distR="0" wp14:anchorId="008FB62D" wp14:editId="244C8928">
                  <wp:extent cx="6400800" cy="4114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c>
        <w:tc>
          <w:tcPr>
            <w:tcW w:w="1070" w:type="dxa"/>
            <w:tcBorders>
              <w:top w:val="nil"/>
              <w:left w:val="nil"/>
              <w:bottom w:val="nil"/>
              <w:right w:val="nil"/>
            </w:tcBorders>
            <w:shd w:val="clear" w:color="auto" w:fill="auto"/>
            <w:noWrap/>
            <w:vAlign w:val="bottom"/>
            <w:hideMark/>
          </w:tcPr>
          <w:p w14:paraId="1D8AD337"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1D5A318"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BDEBFD0"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B715E37" w14:textId="77777777"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r>
      <w:tr w:rsidR="00447D4E" w:rsidRPr="00AC72BF" w14:paraId="25DF5535" w14:textId="77777777" w:rsidTr="00447D4E">
        <w:trPr>
          <w:gridAfter w:val="7"/>
          <w:wAfter w:w="8020" w:type="dxa"/>
          <w:trHeight w:val="300"/>
        </w:trPr>
        <w:tc>
          <w:tcPr>
            <w:tcW w:w="10749" w:type="dxa"/>
            <w:gridSpan w:val="4"/>
            <w:tcBorders>
              <w:top w:val="nil"/>
              <w:left w:val="nil"/>
              <w:bottom w:val="nil"/>
              <w:right w:val="nil"/>
            </w:tcBorders>
            <w:shd w:val="clear" w:color="auto" w:fill="auto"/>
            <w:noWrap/>
            <w:vAlign w:val="bottom"/>
            <w:hideMark/>
          </w:tcPr>
          <w:p w14:paraId="53C60FD8" w14:textId="77777777" w:rsidR="000068F3" w:rsidRPr="000068F3" w:rsidRDefault="000068F3" w:rsidP="00F05015">
            <w:pPr>
              <w:spacing w:after="0"/>
              <w:jc w:val="both"/>
              <w:rPr>
                <w:lang w:val="en-GB"/>
              </w:rPr>
            </w:pPr>
            <w:r w:rsidRPr="000068F3">
              <w:rPr>
                <w:rFonts w:ascii="Times New Roman" w:hAnsi="Times New Roman"/>
                <w:sz w:val="24"/>
                <w:szCs w:val="24"/>
                <w:lang w:val="en-GB"/>
              </w:rPr>
              <w:lastRenderedPageBreak/>
              <w:t>SUMMARY</w:t>
            </w:r>
          </w:p>
          <w:p w14:paraId="705AA2EA" w14:textId="49F01C0D" w:rsidR="000068F3" w:rsidRPr="000068F3" w:rsidRDefault="000068F3" w:rsidP="00F05015">
            <w:pPr>
              <w:spacing w:after="0"/>
              <w:jc w:val="both"/>
              <w:rPr>
                <w:lang w:val="en-GB"/>
              </w:rPr>
            </w:pPr>
            <w:r w:rsidRPr="000068F3">
              <w:rPr>
                <w:rFonts w:ascii="Times New Roman" w:hAnsi="Times New Roman"/>
                <w:sz w:val="24"/>
                <w:szCs w:val="24"/>
                <w:lang w:val="en-GB"/>
              </w:rPr>
              <w:t xml:space="preserve">Although the subfields </w:t>
            </w:r>
            <w:r w:rsidR="007E2E73">
              <w:rPr>
                <w:rFonts w:ascii="Times New Roman" w:hAnsi="Times New Roman"/>
                <w:sz w:val="24"/>
                <w:szCs w:val="24"/>
                <w:lang w:val="en-GB"/>
              </w:rPr>
              <w:t xml:space="preserve">of </w:t>
            </w:r>
            <w:r w:rsidRPr="000068F3">
              <w:rPr>
                <w:rFonts w:ascii="Times New Roman" w:hAnsi="Times New Roman"/>
                <w:sz w:val="24"/>
                <w:szCs w:val="24"/>
                <w:lang w:val="en-GB"/>
              </w:rPr>
              <w:t xml:space="preserve">Pharmacy and Pharmacology and Toxicology at the Charles university </w:t>
            </w:r>
            <w:r w:rsidR="007E2E73">
              <w:rPr>
                <w:rFonts w:ascii="Times New Roman" w:hAnsi="Times New Roman"/>
                <w:sz w:val="24"/>
                <w:szCs w:val="24"/>
                <w:lang w:val="en-GB"/>
              </w:rPr>
              <w:t>have a strong</w:t>
            </w:r>
            <w:r w:rsidRPr="000068F3">
              <w:rPr>
                <w:rFonts w:ascii="Times New Roman" w:hAnsi="Times New Roman"/>
                <w:sz w:val="24"/>
                <w:szCs w:val="24"/>
                <w:lang w:val="en-GB"/>
              </w:rPr>
              <w:t xml:space="preserve"> international context, the subfield Pharmacy and Pharmacology is much </w:t>
            </w:r>
            <w:r w:rsidR="007E2E73">
              <w:rPr>
                <w:rFonts w:ascii="Times New Roman" w:hAnsi="Times New Roman"/>
                <w:sz w:val="24"/>
                <w:szCs w:val="24"/>
                <w:lang w:val="en-GB"/>
              </w:rPr>
              <w:t>more stronly</w:t>
            </w:r>
            <w:r w:rsidR="007E2E73" w:rsidRPr="000068F3">
              <w:rPr>
                <w:rFonts w:ascii="Times New Roman" w:hAnsi="Times New Roman"/>
                <w:sz w:val="24"/>
                <w:szCs w:val="24"/>
                <w:lang w:val="en-GB"/>
              </w:rPr>
              <w:t xml:space="preserve">  </w:t>
            </w:r>
            <w:r w:rsidRPr="000068F3">
              <w:rPr>
                <w:rFonts w:ascii="Times New Roman" w:hAnsi="Times New Roman"/>
                <w:sz w:val="24"/>
                <w:szCs w:val="24"/>
                <w:lang w:val="en-GB"/>
              </w:rPr>
              <w:t>represented than the subfield Toxicology. Whereas in Pharmacy and Pharmacology FaF HK is the flagship faculty in the period 2014-2018, the flagship institution in Toxicology in the same period is 1.LF.</w:t>
            </w:r>
          </w:p>
          <w:p w14:paraId="6028D5DB" w14:textId="77777777" w:rsidR="000068F3" w:rsidRPr="000068F3" w:rsidRDefault="000068F3" w:rsidP="00F05015">
            <w:pPr>
              <w:spacing w:after="120"/>
              <w:jc w:val="both"/>
              <w:rPr>
                <w:lang w:val="en-GB"/>
              </w:rPr>
            </w:pPr>
            <w:r w:rsidRPr="000068F3">
              <w:rPr>
                <w:rFonts w:ascii="Times New Roman" w:hAnsi="Times New Roman"/>
                <w:sz w:val="24"/>
                <w:szCs w:val="24"/>
                <w:lang w:val="en-GB"/>
              </w:rPr>
              <w:t xml:space="preserve">In the top 10%  and top half category papers the scientific subfields Pharmacy and Pharmacology and Toxicology at CUNI are clearly below the European leading benchmark universities. An important conclusion from </w:t>
            </w:r>
            <w:r w:rsidRPr="000068F3">
              <w:rPr>
                <w:rFonts w:ascii="Times New Roman" w:hAnsi="Times New Roman"/>
                <w:sz w:val="24"/>
                <w:szCs w:val="24"/>
                <w:lang w:val="en-GB"/>
              </w:rPr>
              <w:lastRenderedPageBreak/>
              <w:t>this analysis is that CUNI authors in order to improve their visibility in the subfields Pharmacy and Pharmacology and Toxicology should increase publishing  in top 10% and top half journals.</w:t>
            </w:r>
          </w:p>
          <w:p w14:paraId="19A10D4D" w14:textId="1B710D18" w:rsidR="000068F3" w:rsidRPr="000068F3" w:rsidRDefault="000068F3" w:rsidP="00F05015">
            <w:pPr>
              <w:spacing w:after="0"/>
              <w:rPr>
                <w:lang w:val="en-GB"/>
              </w:rPr>
            </w:pPr>
            <w:r w:rsidRPr="000068F3">
              <w:rPr>
                <w:rFonts w:ascii="Times New Roman" w:hAnsi="Times New Roman"/>
                <w:sz w:val="24"/>
                <w:szCs w:val="24"/>
                <w:lang w:val="en-GB"/>
              </w:rPr>
              <w:t xml:space="preserve">In the subfields Pharmacy and Pharmacology and Toxicology very often the research is carried out within one Faculty or within CUNI collaboration only, therefore the leading faculties  and Departments are strongly </w:t>
            </w:r>
            <w:r w:rsidR="007E2E73">
              <w:rPr>
                <w:rFonts w:ascii="Times New Roman" w:hAnsi="Times New Roman"/>
                <w:sz w:val="24"/>
                <w:szCs w:val="24"/>
                <w:lang w:val="en-GB"/>
              </w:rPr>
              <w:t>encouraged</w:t>
            </w:r>
            <w:r w:rsidR="007E2E73" w:rsidRPr="000068F3">
              <w:rPr>
                <w:rFonts w:ascii="Times New Roman" w:hAnsi="Times New Roman"/>
                <w:sz w:val="24"/>
                <w:szCs w:val="24"/>
                <w:lang w:val="en-GB"/>
              </w:rPr>
              <w:t xml:space="preserve"> </w:t>
            </w:r>
            <w:r w:rsidRPr="000068F3">
              <w:rPr>
                <w:rFonts w:ascii="Times New Roman" w:hAnsi="Times New Roman"/>
                <w:sz w:val="24"/>
                <w:szCs w:val="24"/>
                <w:lang w:val="en-GB"/>
              </w:rPr>
              <w:t>to analyze how fostering international collaboration could provide added value to exiting prevailing inter-CUNI or national collaboration in the subfields Pharmacy &amp; Pharmacology and Toxicology. </w:t>
            </w:r>
          </w:p>
          <w:p w14:paraId="5287F52C" w14:textId="5B101A8C" w:rsidR="000068F3" w:rsidRPr="000068F3" w:rsidRDefault="000068F3" w:rsidP="00F05015">
            <w:pPr>
              <w:spacing w:after="0"/>
              <w:rPr>
                <w:lang w:val="en-GB"/>
              </w:rPr>
            </w:pPr>
            <w:r w:rsidRPr="000068F3">
              <w:rPr>
                <w:rFonts w:ascii="Times New Roman" w:hAnsi="Times New Roman"/>
                <w:sz w:val="24"/>
                <w:szCs w:val="24"/>
                <w:lang w:val="en-GB"/>
              </w:rPr>
              <w:t>In the evaluation of subfields Pharmacy and Pharmacology and Toxicology a discrepancy was observed between the existing CUNI classification and WoS classification which was responsible for losing several top papers that were internally assigned to a subfields outside Pharmacy and Pharmacology and Toxicology (in WoS classification there were 56 D1 papers compared to only 14 D1 papers in CUNI Subfield classification). This should be considered with future evaluations.</w:t>
            </w:r>
          </w:p>
          <w:p w14:paraId="44D58DA6" w14:textId="77777777" w:rsidR="000068F3" w:rsidRPr="000068F3" w:rsidRDefault="000068F3" w:rsidP="00F05015">
            <w:pPr>
              <w:spacing w:after="0"/>
              <w:rPr>
                <w:color w:val="000000"/>
                <w:lang w:val="en-GB"/>
              </w:rPr>
            </w:pPr>
            <w:r w:rsidRPr="000068F3">
              <w:rPr>
                <w:rFonts w:ascii="Times New Roman" w:hAnsi="Times New Roman"/>
                <w:color w:val="558ED5"/>
                <w:sz w:val="24"/>
                <w:szCs w:val="24"/>
                <w:lang w:val="en-GB"/>
              </w:rPr>
              <w:t> </w:t>
            </w:r>
          </w:p>
          <w:p w14:paraId="075A98BE" w14:textId="387EBB8E" w:rsidR="00447D4E" w:rsidRPr="00EF4144" w:rsidRDefault="00447D4E" w:rsidP="00EF4144">
            <w:pPr>
              <w:pStyle w:val="Odstavecseseznamem"/>
              <w:spacing w:after="0" w:line="360" w:lineRule="auto"/>
              <w:ind w:left="360" w:right="93"/>
              <w:jc w:val="both"/>
              <w:rPr>
                <w:rFonts w:ascii="Times New Roman" w:hAnsi="Times New Roman"/>
                <w:b/>
                <w:bCs/>
                <w:color w:val="FF0000"/>
                <w:sz w:val="24"/>
                <w:szCs w:val="24"/>
                <w:lang w:val="en-GB"/>
              </w:rPr>
            </w:pPr>
          </w:p>
        </w:tc>
        <w:tc>
          <w:tcPr>
            <w:tcW w:w="1300" w:type="dxa"/>
            <w:tcBorders>
              <w:top w:val="nil"/>
              <w:left w:val="nil"/>
              <w:bottom w:val="nil"/>
              <w:right w:val="nil"/>
            </w:tcBorders>
            <w:shd w:val="clear" w:color="auto" w:fill="auto"/>
            <w:noWrap/>
            <w:vAlign w:val="bottom"/>
            <w:hideMark/>
          </w:tcPr>
          <w:p w14:paraId="39A263E7" w14:textId="0CFD36BC" w:rsidR="00447D4E" w:rsidRPr="00AC72BF" w:rsidRDefault="00447D4E"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18093B4A" w14:textId="77777777" w:rsidTr="00447D4E">
        <w:trPr>
          <w:trHeight w:val="300"/>
        </w:trPr>
        <w:tc>
          <w:tcPr>
            <w:tcW w:w="12049" w:type="dxa"/>
            <w:gridSpan w:val="5"/>
            <w:tcBorders>
              <w:top w:val="nil"/>
              <w:left w:val="nil"/>
              <w:bottom w:val="nil"/>
              <w:right w:val="nil"/>
            </w:tcBorders>
            <w:shd w:val="clear" w:color="auto" w:fill="auto"/>
            <w:noWrap/>
            <w:vAlign w:val="bottom"/>
            <w:hideMark/>
          </w:tcPr>
          <w:p w14:paraId="03D4A64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0FFAB07B"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93" w:type="dxa"/>
            <w:tcBorders>
              <w:top w:val="nil"/>
              <w:left w:val="nil"/>
              <w:bottom w:val="nil"/>
              <w:right w:val="nil"/>
            </w:tcBorders>
            <w:shd w:val="clear" w:color="auto" w:fill="auto"/>
            <w:noWrap/>
            <w:vAlign w:val="bottom"/>
            <w:hideMark/>
          </w:tcPr>
          <w:p w14:paraId="1F51204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064EE842"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1C30D78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8C88486"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90CA8A"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0B7035F"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r w:rsidR="003F37F1" w:rsidRPr="00AC72BF" w14:paraId="7238516A" w14:textId="77777777" w:rsidTr="00447D4E">
        <w:trPr>
          <w:trHeight w:val="300"/>
        </w:trPr>
        <w:tc>
          <w:tcPr>
            <w:tcW w:w="14235" w:type="dxa"/>
            <w:gridSpan w:val="7"/>
            <w:tcBorders>
              <w:top w:val="nil"/>
              <w:left w:val="nil"/>
              <w:bottom w:val="nil"/>
              <w:right w:val="nil"/>
            </w:tcBorders>
            <w:shd w:val="clear" w:color="auto" w:fill="auto"/>
            <w:noWrap/>
            <w:vAlign w:val="bottom"/>
            <w:hideMark/>
          </w:tcPr>
          <w:p w14:paraId="35344F50" w14:textId="0995AE2E"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p w14:paraId="32D38A34"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p w14:paraId="3F75B5DB" w14:textId="06F8927A" w:rsidR="003F37F1" w:rsidRPr="00AC72BF" w:rsidRDefault="003F37F1" w:rsidP="003672BA">
            <w:pPr>
              <w:pStyle w:val="Odstavecseseznamem"/>
              <w:spacing w:after="0" w:line="360" w:lineRule="auto"/>
              <w:ind w:left="360" w:right="93"/>
              <w:jc w:val="both"/>
              <w:rPr>
                <w:rFonts w:ascii="Times New Roman" w:hAnsi="Times New Roman"/>
                <w:b/>
                <w:bCs/>
                <w:sz w:val="24"/>
                <w:szCs w:val="24"/>
                <w:lang w:val="en-GB"/>
              </w:rPr>
            </w:pPr>
            <w:r w:rsidRPr="00AC72BF">
              <w:rPr>
                <w:rFonts w:ascii="Times New Roman" w:hAnsi="Times New Roman"/>
                <w:b/>
                <w:bCs/>
                <w:sz w:val="24"/>
                <w:szCs w:val="24"/>
                <w:lang w:val="en-GB"/>
              </w:rPr>
              <w:t>Psychiatry and Sex</w:t>
            </w:r>
            <w:r w:rsidR="008E3C21">
              <w:rPr>
                <w:rFonts w:ascii="Times New Roman" w:hAnsi="Times New Roman"/>
                <w:b/>
                <w:bCs/>
                <w:sz w:val="24"/>
                <w:szCs w:val="24"/>
                <w:lang w:val="en-GB"/>
              </w:rPr>
              <w:t>u</w:t>
            </w:r>
            <w:r w:rsidRPr="00AC72BF">
              <w:rPr>
                <w:rFonts w:ascii="Times New Roman" w:hAnsi="Times New Roman"/>
                <w:b/>
                <w:bCs/>
                <w:sz w:val="24"/>
                <w:szCs w:val="24"/>
                <w:lang w:val="en-GB"/>
              </w:rPr>
              <w:t>ology</w:t>
            </w:r>
          </w:p>
          <w:p w14:paraId="21CE5805" w14:textId="77777777" w:rsidR="003F37F1" w:rsidRPr="00AC72BF" w:rsidRDefault="003F37F1" w:rsidP="003672BA">
            <w:pPr>
              <w:spacing w:after="0" w:line="360" w:lineRule="auto"/>
              <w:ind w:right="93"/>
              <w:jc w:val="both"/>
              <w:rPr>
                <w:rFonts w:ascii="Times New Roman" w:hAnsi="Times New Roman"/>
                <w:bCs/>
                <w:sz w:val="24"/>
                <w:szCs w:val="24"/>
                <w:lang w:val="en-GB"/>
              </w:rPr>
            </w:pPr>
          </w:p>
          <w:p w14:paraId="00174183" w14:textId="3ACF6EAF"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There are three articles with Papezova from 1. LF, Department of Psychiatry (1. Faculty of Medicine)</w:t>
            </w:r>
            <w:r w:rsidR="007E2E73">
              <w:rPr>
                <w:rFonts w:ascii="Times New Roman" w:hAnsi="Times New Roman"/>
                <w:bCs/>
                <w:sz w:val="24"/>
                <w:szCs w:val="24"/>
                <w:lang w:val="en-GB"/>
              </w:rPr>
              <w:t xml:space="preserve"> as a co-author</w:t>
            </w:r>
            <w:r w:rsidRPr="00AC72BF">
              <w:rPr>
                <w:rFonts w:ascii="Times New Roman" w:hAnsi="Times New Roman"/>
                <w:bCs/>
                <w:sz w:val="24"/>
                <w:szCs w:val="24"/>
                <w:lang w:val="en-GB"/>
              </w:rPr>
              <w:t>. The author is known for long term involvement in clinics and publication</w:t>
            </w:r>
            <w:r w:rsidR="007E2E73">
              <w:rPr>
                <w:rFonts w:ascii="Times New Roman" w:hAnsi="Times New Roman"/>
                <w:bCs/>
                <w:sz w:val="24"/>
                <w:szCs w:val="24"/>
                <w:lang w:val="en-GB"/>
              </w:rPr>
              <w:t>s</w:t>
            </w:r>
            <w:r w:rsidRPr="00AC72BF">
              <w:rPr>
                <w:rFonts w:ascii="Times New Roman" w:hAnsi="Times New Roman"/>
                <w:bCs/>
                <w:sz w:val="24"/>
                <w:szCs w:val="24"/>
                <w:lang w:val="en-GB"/>
              </w:rPr>
              <w:t xml:space="preserve"> on eating disorders. These are the results of an international project of a genetic study of mental anorexia. She is not listed among authors in the second article; her name is in </w:t>
            </w:r>
            <w:r w:rsidR="007E2E73">
              <w:rPr>
                <w:rFonts w:ascii="Times New Roman" w:hAnsi="Times New Roman"/>
                <w:bCs/>
                <w:sz w:val="24"/>
                <w:szCs w:val="24"/>
                <w:lang w:val="en-GB"/>
              </w:rPr>
              <w:t xml:space="preserve">the </w:t>
            </w:r>
            <w:r w:rsidRPr="00AC72BF">
              <w:rPr>
                <w:rFonts w:ascii="Times New Roman" w:hAnsi="Times New Roman"/>
                <w:bCs/>
                <w:sz w:val="24"/>
                <w:szCs w:val="24"/>
                <w:lang w:val="en-GB"/>
              </w:rPr>
              <w:t xml:space="preserve">acknowledgement of involved researchers. She is </w:t>
            </w:r>
            <w:r w:rsidR="007E2E73">
              <w:rPr>
                <w:rFonts w:ascii="Times New Roman" w:hAnsi="Times New Roman"/>
                <w:bCs/>
                <w:sz w:val="24"/>
                <w:szCs w:val="24"/>
                <w:lang w:val="en-GB"/>
              </w:rPr>
              <w:t xml:space="preserve">a </w:t>
            </w:r>
            <w:r w:rsidRPr="00AC72BF">
              <w:rPr>
                <w:rFonts w:ascii="Times New Roman" w:hAnsi="Times New Roman"/>
                <w:bCs/>
                <w:sz w:val="24"/>
                <w:szCs w:val="24"/>
                <w:lang w:val="en-GB"/>
              </w:rPr>
              <w:t xml:space="preserve">co-author listed among hundreds of co-author in the third article published in Science journal as is quite typical for international genetic studies. Immediate clinical impact of this article is low. </w:t>
            </w:r>
            <w:r w:rsidR="007E2E73">
              <w:rPr>
                <w:rFonts w:ascii="Times New Roman" w:hAnsi="Times New Roman"/>
                <w:bCs/>
                <w:sz w:val="24"/>
                <w:szCs w:val="24"/>
                <w:lang w:val="en-GB"/>
              </w:rPr>
              <w:t>As the i</w:t>
            </w:r>
            <w:r w:rsidRPr="00AC72BF">
              <w:rPr>
                <w:rFonts w:ascii="Times New Roman" w:hAnsi="Times New Roman"/>
                <w:bCs/>
                <w:sz w:val="24"/>
                <w:szCs w:val="24"/>
                <w:lang w:val="en-GB"/>
              </w:rPr>
              <w:t xml:space="preserve">mpact factors of </w:t>
            </w:r>
            <w:r w:rsidR="007E2E73">
              <w:rPr>
                <w:rFonts w:ascii="Times New Roman" w:hAnsi="Times New Roman"/>
                <w:bCs/>
                <w:sz w:val="24"/>
                <w:szCs w:val="24"/>
                <w:lang w:val="en-GB"/>
              </w:rPr>
              <w:t xml:space="preserve">these </w:t>
            </w:r>
            <w:r w:rsidRPr="00AC72BF">
              <w:rPr>
                <w:rFonts w:ascii="Times New Roman" w:hAnsi="Times New Roman"/>
                <w:bCs/>
                <w:sz w:val="24"/>
                <w:szCs w:val="24"/>
                <w:lang w:val="en-GB"/>
              </w:rPr>
              <w:t xml:space="preserve">journals are high, the involvement of </w:t>
            </w:r>
            <w:r w:rsidR="007E2E73">
              <w:rPr>
                <w:rFonts w:ascii="Times New Roman" w:hAnsi="Times New Roman"/>
                <w:bCs/>
                <w:sz w:val="24"/>
                <w:szCs w:val="24"/>
                <w:lang w:val="en-GB"/>
              </w:rPr>
              <w:t xml:space="preserve">the </w:t>
            </w:r>
            <w:r w:rsidRPr="00AC72BF">
              <w:rPr>
                <w:rFonts w:ascii="Times New Roman" w:hAnsi="Times New Roman"/>
                <w:bCs/>
                <w:sz w:val="24"/>
                <w:szCs w:val="24"/>
                <w:lang w:val="en-GB"/>
              </w:rPr>
              <w:t xml:space="preserve">author/department </w:t>
            </w:r>
            <w:r w:rsidR="007E2E73">
              <w:rPr>
                <w:rFonts w:ascii="Times New Roman" w:hAnsi="Times New Roman"/>
                <w:bCs/>
                <w:sz w:val="24"/>
                <w:szCs w:val="24"/>
                <w:lang w:val="en-GB"/>
              </w:rPr>
              <w:t>in</w:t>
            </w:r>
            <w:r w:rsidRPr="00AC72BF">
              <w:rPr>
                <w:rFonts w:ascii="Times New Roman" w:hAnsi="Times New Roman"/>
                <w:bCs/>
                <w:sz w:val="24"/>
                <w:szCs w:val="24"/>
                <w:lang w:val="en-GB"/>
              </w:rPr>
              <w:t xml:space="preserve"> this study confirms the recognition of the author and the institution by the international research community.  The article in Science can be considered as very important in an effort to find a genetic base for major psychiatric diseases.  </w:t>
            </w:r>
          </w:p>
          <w:p w14:paraId="1738F9B6" w14:textId="545F3195"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lastRenderedPageBreak/>
              <w:t xml:space="preserve">The article with P. Sos (3. LF) as </w:t>
            </w:r>
            <w:r w:rsidR="007E2E73">
              <w:rPr>
                <w:rFonts w:ascii="Times New Roman" w:hAnsi="Times New Roman"/>
                <w:bCs/>
                <w:sz w:val="24"/>
                <w:szCs w:val="24"/>
                <w:lang w:val="en-GB"/>
              </w:rPr>
              <w:t xml:space="preserve">a </w:t>
            </w:r>
            <w:r w:rsidRPr="00AC72BF">
              <w:rPr>
                <w:rFonts w:ascii="Times New Roman" w:hAnsi="Times New Roman"/>
                <w:bCs/>
                <w:sz w:val="24"/>
                <w:szCs w:val="24"/>
                <w:lang w:val="en-GB"/>
              </w:rPr>
              <w:t>co-author was published in</w:t>
            </w:r>
            <w:r w:rsidR="007E2E73">
              <w:rPr>
                <w:rFonts w:ascii="Times New Roman" w:hAnsi="Times New Roman"/>
                <w:bCs/>
                <w:sz w:val="24"/>
                <w:szCs w:val="24"/>
                <w:lang w:val="en-GB"/>
              </w:rPr>
              <w:t xml:space="preserve"> the</w:t>
            </w:r>
            <w:r w:rsidRPr="00AC72BF">
              <w:rPr>
                <w:rFonts w:ascii="Times New Roman" w:hAnsi="Times New Roman"/>
                <w:bCs/>
                <w:sz w:val="24"/>
                <w:szCs w:val="24"/>
                <w:lang w:val="en-GB"/>
              </w:rPr>
              <w:t xml:space="preserve"> American Journal of Psychiatry. It is </w:t>
            </w:r>
            <w:r w:rsidR="007E2E73">
              <w:rPr>
                <w:rFonts w:ascii="Times New Roman" w:hAnsi="Times New Roman"/>
                <w:bCs/>
                <w:sz w:val="24"/>
                <w:szCs w:val="24"/>
                <w:lang w:val="en-GB"/>
              </w:rPr>
              <w:t xml:space="preserve">a </w:t>
            </w:r>
            <w:r w:rsidRPr="00AC72BF">
              <w:rPr>
                <w:rFonts w:ascii="Times New Roman" w:hAnsi="Times New Roman"/>
                <w:bCs/>
                <w:sz w:val="24"/>
                <w:szCs w:val="24"/>
                <w:lang w:val="en-GB"/>
              </w:rPr>
              <w:t xml:space="preserve">meta-analysis, and </w:t>
            </w:r>
            <w:r w:rsidR="0042270A">
              <w:rPr>
                <w:rFonts w:ascii="Times New Roman" w:hAnsi="Times New Roman"/>
                <w:bCs/>
                <w:sz w:val="24"/>
                <w:szCs w:val="24"/>
                <w:lang w:val="en-GB"/>
              </w:rPr>
              <w:t xml:space="preserve">the </w:t>
            </w:r>
            <w:r w:rsidRPr="00AC72BF">
              <w:rPr>
                <w:rFonts w:ascii="Times New Roman" w:hAnsi="Times New Roman"/>
                <w:bCs/>
                <w:sz w:val="24"/>
                <w:szCs w:val="24"/>
                <w:lang w:val="en-GB"/>
              </w:rPr>
              <w:t xml:space="preserve">original publication of P. Sos et al. </w:t>
            </w:r>
            <w:r w:rsidR="0042270A">
              <w:rPr>
                <w:rFonts w:ascii="Times New Roman" w:hAnsi="Times New Roman"/>
                <w:bCs/>
                <w:sz w:val="24"/>
                <w:szCs w:val="24"/>
                <w:lang w:val="en-GB"/>
              </w:rPr>
              <w:t>was included</w:t>
            </w:r>
            <w:r w:rsidRPr="00AC72BF">
              <w:rPr>
                <w:rFonts w:ascii="Times New Roman" w:hAnsi="Times New Roman"/>
                <w:bCs/>
                <w:sz w:val="24"/>
                <w:szCs w:val="24"/>
                <w:lang w:val="en-GB"/>
              </w:rPr>
              <w:t xml:space="preserve"> in this meta-analysis, so it is supposed that </w:t>
            </w:r>
            <w:r w:rsidR="0042270A">
              <w:rPr>
                <w:rFonts w:ascii="Times New Roman" w:hAnsi="Times New Roman"/>
                <w:bCs/>
                <w:sz w:val="24"/>
                <w:szCs w:val="24"/>
                <w:lang w:val="en-GB"/>
              </w:rPr>
              <w:t>this</w:t>
            </w:r>
            <w:r w:rsidRPr="00AC72BF">
              <w:rPr>
                <w:rFonts w:ascii="Times New Roman" w:hAnsi="Times New Roman"/>
                <w:bCs/>
                <w:sz w:val="24"/>
                <w:szCs w:val="24"/>
                <w:lang w:val="en-GB"/>
              </w:rPr>
              <w:t xml:space="preserve"> was the main reason for co-authoring. The topic is </w:t>
            </w:r>
            <w:r w:rsidR="0042270A">
              <w:rPr>
                <w:rFonts w:ascii="Times New Roman" w:hAnsi="Times New Roman"/>
                <w:bCs/>
                <w:sz w:val="24"/>
                <w:szCs w:val="24"/>
                <w:lang w:val="en-GB"/>
              </w:rPr>
              <w:t>of emerging interest</w:t>
            </w:r>
            <w:r w:rsidRPr="00AC72BF">
              <w:rPr>
                <w:rFonts w:ascii="Times New Roman" w:hAnsi="Times New Roman"/>
                <w:bCs/>
                <w:sz w:val="24"/>
                <w:szCs w:val="24"/>
                <w:lang w:val="en-GB"/>
              </w:rPr>
              <w:t xml:space="preserve"> with </w:t>
            </w:r>
            <w:r w:rsidR="0042270A">
              <w:rPr>
                <w:rFonts w:ascii="Times New Roman" w:hAnsi="Times New Roman"/>
                <w:bCs/>
                <w:sz w:val="24"/>
                <w:szCs w:val="24"/>
                <w:lang w:val="en-GB"/>
              </w:rPr>
              <w:t xml:space="preserve">high </w:t>
            </w:r>
            <w:r w:rsidRPr="00AC72BF">
              <w:rPr>
                <w:rFonts w:ascii="Times New Roman" w:hAnsi="Times New Roman"/>
                <w:bCs/>
                <w:sz w:val="24"/>
                <w:szCs w:val="24"/>
                <w:lang w:val="en-GB"/>
              </w:rPr>
              <w:t>clinical impact,</w:t>
            </w:r>
            <w:r w:rsidR="0042270A">
              <w:rPr>
                <w:rFonts w:ascii="Times New Roman" w:hAnsi="Times New Roman"/>
                <w:bCs/>
                <w:sz w:val="24"/>
                <w:szCs w:val="24"/>
                <w:lang w:val="en-GB"/>
              </w:rPr>
              <w:t xml:space="preserve"> and</w:t>
            </w:r>
            <w:r w:rsidRPr="00AC72BF">
              <w:rPr>
                <w:rFonts w:ascii="Times New Roman" w:hAnsi="Times New Roman"/>
                <w:bCs/>
                <w:sz w:val="24"/>
                <w:szCs w:val="24"/>
                <w:lang w:val="en-GB"/>
              </w:rPr>
              <w:t xml:space="preserve"> the article </w:t>
            </w:r>
            <w:r w:rsidR="0042270A">
              <w:rPr>
                <w:rFonts w:ascii="Times New Roman" w:hAnsi="Times New Roman"/>
                <w:bCs/>
                <w:sz w:val="24"/>
                <w:szCs w:val="24"/>
                <w:lang w:val="en-GB"/>
              </w:rPr>
              <w:t xml:space="preserve">already </w:t>
            </w:r>
            <w:r w:rsidRPr="00AC72BF">
              <w:rPr>
                <w:rFonts w:ascii="Times New Roman" w:hAnsi="Times New Roman"/>
                <w:bCs/>
                <w:sz w:val="24"/>
                <w:szCs w:val="24"/>
                <w:lang w:val="en-GB"/>
              </w:rPr>
              <w:t>has 171 citations</w:t>
            </w:r>
            <w:r w:rsidR="0042270A">
              <w:rPr>
                <w:rFonts w:ascii="Times New Roman" w:hAnsi="Times New Roman"/>
                <w:bCs/>
                <w:sz w:val="24"/>
                <w:szCs w:val="24"/>
                <w:lang w:val="en-GB"/>
              </w:rPr>
              <w:t>.  The</w:t>
            </w:r>
            <w:r w:rsidRPr="00AC72BF">
              <w:rPr>
                <w:rFonts w:ascii="Times New Roman" w:hAnsi="Times New Roman"/>
                <w:bCs/>
                <w:sz w:val="24"/>
                <w:szCs w:val="24"/>
                <w:lang w:val="en-GB"/>
              </w:rPr>
              <w:t xml:space="preserve"> co-authoring in this meta-analysis can be an important sign of recognition of the department at an international level.</w:t>
            </w:r>
          </w:p>
          <w:p w14:paraId="7FD07AA7" w14:textId="62FDF918"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 xml:space="preserve">The article of  Winkler et al. was </w:t>
            </w:r>
            <w:r w:rsidR="0042270A">
              <w:rPr>
                <w:rFonts w:ascii="Times New Roman" w:hAnsi="Times New Roman"/>
                <w:bCs/>
                <w:sz w:val="24"/>
                <w:szCs w:val="24"/>
                <w:lang w:val="en-GB"/>
              </w:rPr>
              <w:t>p</w:t>
            </w:r>
            <w:r w:rsidRPr="00AC72BF">
              <w:rPr>
                <w:rFonts w:ascii="Times New Roman" w:hAnsi="Times New Roman"/>
                <w:bCs/>
                <w:sz w:val="24"/>
                <w:szCs w:val="24"/>
                <w:lang w:val="en-GB"/>
              </w:rPr>
              <w:t xml:space="preserve">ublished in Lancet. It was assigned to the 1. LF in the bibliographic .xls file, but according the first author should be assigned to the 3. LF. There are co-authors from 1. LF and the study was done in cooperation with the King's College and Palacky University.   Publication in Lancet is a mark of importance, but the topic is more social medicine or social psychiatry, not core clinical medicine. The reform of psychiatry in post-socialist countries is an attractive topic. </w:t>
            </w:r>
          </w:p>
          <w:p w14:paraId="7BFE67B9" w14:textId="59290D60"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There are three article</w:t>
            </w:r>
            <w:r w:rsidR="0042270A">
              <w:rPr>
                <w:rFonts w:ascii="Times New Roman" w:hAnsi="Times New Roman"/>
                <w:bCs/>
                <w:sz w:val="24"/>
                <w:szCs w:val="24"/>
                <w:lang w:val="en-GB"/>
              </w:rPr>
              <w:t>s</w:t>
            </w:r>
            <w:r w:rsidRPr="00AC72BF">
              <w:rPr>
                <w:rFonts w:ascii="Times New Roman" w:hAnsi="Times New Roman"/>
                <w:bCs/>
                <w:sz w:val="24"/>
                <w:szCs w:val="24"/>
                <w:lang w:val="en-GB"/>
              </w:rPr>
              <w:t xml:space="preserve"> listed in D1 </w:t>
            </w:r>
            <w:r w:rsidR="0042270A">
              <w:rPr>
                <w:rFonts w:ascii="Times New Roman" w:hAnsi="Times New Roman"/>
                <w:bCs/>
                <w:sz w:val="24"/>
                <w:szCs w:val="24"/>
                <w:lang w:val="en-GB"/>
              </w:rPr>
              <w:t xml:space="preserve">from a </w:t>
            </w:r>
            <w:r w:rsidRPr="00AC72BF">
              <w:rPr>
                <w:rFonts w:ascii="Times New Roman" w:hAnsi="Times New Roman"/>
                <w:bCs/>
                <w:sz w:val="24"/>
                <w:szCs w:val="24"/>
                <w:lang w:val="en-GB"/>
              </w:rPr>
              <w:t>group of authors Martin Alda and Tomas Hajek assigned to the 3. LF. Al three articles are on aspects of bipolar disorder with clinical impact</w:t>
            </w:r>
            <w:r w:rsidR="0042270A">
              <w:rPr>
                <w:rFonts w:ascii="Times New Roman" w:hAnsi="Times New Roman"/>
                <w:bCs/>
                <w:sz w:val="24"/>
                <w:szCs w:val="24"/>
                <w:lang w:val="en-GB"/>
              </w:rPr>
              <w:t>.  O</w:t>
            </w:r>
            <w:r w:rsidRPr="00AC72BF">
              <w:rPr>
                <w:rFonts w:ascii="Times New Roman" w:hAnsi="Times New Roman"/>
                <w:bCs/>
                <w:sz w:val="24"/>
                <w:szCs w:val="24"/>
                <w:lang w:val="en-GB"/>
              </w:rPr>
              <w:t xml:space="preserve">ne of them is </w:t>
            </w:r>
            <w:r w:rsidR="0042270A">
              <w:rPr>
                <w:rFonts w:ascii="Times New Roman" w:hAnsi="Times New Roman"/>
                <w:bCs/>
                <w:sz w:val="24"/>
                <w:szCs w:val="24"/>
                <w:lang w:val="en-GB"/>
              </w:rPr>
              <w:t>a</w:t>
            </w:r>
            <w:r w:rsidRPr="00AC72BF">
              <w:rPr>
                <w:rFonts w:ascii="Times New Roman" w:hAnsi="Times New Roman"/>
                <w:bCs/>
                <w:sz w:val="24"/>
                <w:szCs w:val="24"/>
                <w:lang w:val="en-GB"/>
              </w:rPr>
              <w:t xml:space="preserve"> review of lithium (Alda as the single author). Both authors are highly internationally recognized in the </w:t>
            </w:r>
            <w:r w:rsidR="0042270A">
              <w:rPr>
                <w:rFonts w:ascii="Times New Roman" w:hAnsi="Times New Roman"/>
                <w:bCs/>
                <w:sz w:val="24"/>
                <w:szCs w:val="24"/>
                <w:lang w:val="en-GB"/>
              </w:rPr>
              <w:t>study</w:t>
            </w:r>
            <w:r w:rsidR="0042270A" w:rsidRPr="00AC72BF">
              <w:rPr>
                <w:rFonts w:ascii="Times New Roman" w:hAnsi="Times New Roman"/>
                <w:bCs/>
                <w:sz w:val="24"/>
                <w:szCs w:val="24"/>
                <w:lang w:val="en-GB"/>
              </w:rPr>
              <w:t xml:space="preserve"> </w:t>
            </w:r>
            <w:r w:rsidRPr="00AC72BF">
              <w:rPr>
                <w:rFonts w:ascii="Times New Roman" w:hAnsi="Times New Roman"/>
                <w:bCs/>
                <w:sz w:val="24"/>
                <w:szCs w:val="24"/>
                <w:lang w:val="en-GB"/>
              </w:rPr>
              <w:t>of bipolar disorder; both are members of Department of Psychiatry, Dalhousie University, Halifax, NS, Canada with affiliation in 3. LF, but primary at National Institute of Mental Health in Klecany, The Czech Republic.</w:t>
            </w:r>
          </w:p>
          <w:p w14:paraId="69DE132C" w14:textId="16F2F2F2" w:rsidR="00B81BB8" w:rsidRPr="00AC72BF" w:rsidRDefault="0042270A"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An a</w:t>
            </w:r>
            <w:r w:rsidR="00B81BB8" w:rsidRPr="00AC72BF">
              <w:rPr>
                <w:rFonts w:ascii="Times New Roman" w:hAnsi="Times New Roman"/>
                <w:bCs/>
                <w:sz w:val="24"/>
                <w:szCs w:val="24"/>
                <w:lang w:val="en-GB"/>
              </w:rPr>
              <w:t>rticle by Spaniel and co-author</w:t>
            </w:r>
            <w:r>
              <w:rPr>
                <w:rFonts w:ascii="Times New Roman" w:hAnsi="Times New Roman"/>
                <w:bCs/>
                <w:sz w:val="24"/>
                <w:szCs w:val="24"/>
                <w:lang w:val="en-GB"/>
              </w:rPr>
              <w:t>s</w:t>
            </w:r>
            <w:r w:rsidR="00B81BB8" w:rsidRPr="00AC72BF">
              <w:rPr>
                <w:rFonts w:ascii="Times New Roman" w:hAnsi="Times New Roman"/>
                <w:bCs/>
                <w:sz w:val="24"/>
                <w:szCs w:val="24"/>
                <w:lang w:val="en-GB"/>
              </w:rPr>
              <w:t xml:space="preserve"> mostly from the 3. LF published in Schizophrenia Research is more from</w:t>
            </w:r>
            <w:r>
              <w:rPr>
                <w:rFonts w:ascii="Times New Roman" w:hAnsi="Times New Roman"/>
                <w:bCs/>
                <w:sz w:val="24"/>
                <w:szCs w:val="24"/>
                <w:lang w:val="en-GB"/>
              </w:rPr>
              <w:t xml:space="preserve"> the</w:t>
            </w:r>
            <w:r w:rsidR="00B81BB8" w:rsidRPr="00AC72BF">
              <w:rPr>
                <w:rFonts w:ascii="Times New Roman" w:hAnsi="Times New Roman"/>
                <w:bCs/>
                <w:sz w:val="24"/>
                <w:szCs w:val="24"/>
                <w:lang w:val="en-GB"/>
              </w:rPr>
              <w:t xml:space="preserve"> neuroscience group than clinical psychiatry. It is a highly interesting topic about the fundamental questions about schizophrenia but has only 15 citations according to Google Scholar. </w:t>
            </w:r>
          </w:p>
          <w:p w14:paraId="07927FA4" w14:textId="305B469B" w:rsidR="00B81BB8" w:rsidRPr="00AC72BF" w:rsidRDefault="0042270A"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An a</w:t>
            </w:r>
            <w:r w:rsidR="00B81BB8" w:rsidRPr="00AC72BF">
              <w:rPr>
                <w:rFonts w:ascii="Times New Roman" w:hAnsi="Times New Roman"/>
                <w:bCs/>
                <w:sz w:val="24"/>
                <w:szCs w:val="24"/>
                <w:lang w:val="en-GB"/>
              </w:rPr>
              <w:t>rticle with co-authors from 3. LF is the result of significant international cooperation focused on white matter change</w:t>
            </w:r>
            <w:r>
              <w:rPr>
                <w:rFonts w:ascii="Times New Roman" w:hAnsi="Times New Roman"/>
                <w:bCs/>
                <w:sz w:val="24"/>
                <w:szCs w:val="24"/>
                <w:lang w:val="en-GB"/>
              </w:rPr>
              <w:t>s</w:t>
            </w:r>
            <w:r w:rsidR="00B81BB8" w:rsidRPr="00AC72BF">
              <w:rPr>
                <w:rFonts w:ascii="Times New Roman" w:hAnsi="Times New Roman"/>
                <w:bCs/>
                <w:sz w:val="24"/>
                <w:szCs w:val="24"/>
                <w:lang w:val="en-GB"/>
              </w:rPr>
              <w:t xml:space="preserve"> in schizophrenia.</w:t>
            </w:r>
            <w:r>
              <w:rPr>
                <w:rFonts w:ascii="Times New Roman" w:hAnsi="Times New Roman"/>
                <w:bCs/>
                <w:sz w:val="24"/>
                <w:szCs w:val="24"/>
                <w:lang w:val="en-GB"/>
              </w:rPr>
              <w:t xml:space="preserve">This article also is </w:t>
            </w:r>
            <w:r w:rsidR="00B81BB8" w:rsidRPr="00AC72BF">
              <w:rPr>
                <w:rFonts w:ascii="Times New Roman" w:hAnsi="Times New Roman"/>
                <w:bCs/>
                <w:sz w:val="24"/>
                <w:szCs w:val="24"/>
                <w:lang w:val="en-GB"/>
              </w:rPr>
              <w:t xml:space="preserve"> more neuroscience research and not </w:t>
            </w:r>
            <w:r>
              <w:rPr>
                <w:rFonts w:ascii="Times New Roman" w:hAnsi="Times New Roman"/>
                <w:bCs/>
                <w:sz w:val="24"/>
                <w:szCs w:val="24"/>
                <w:lang w:val="en-GB"/>
              </w:rPr>
              <w:t xml:space="preserve">a </w:t>
            </w:r>
            <w:r w:rsidR="00B81BB8" w:rsidRPr="00AC72BF">
              <w:rPr>
                <w:rFonts w:ascii="Times New Roman" w:hAnsi="Times New Roman"/>
                <w:bCs/>
                <w:sz w:val="24"/>
                <w:szCs w:val="24"/>
                <w:lang w:val="en-GB"/>
              </w:rPr>
              <w:t xml:space="preserve">core clinical study with immediate impact.  </w:t>
            </w:r>
          </w:p>
          <w:p w14:paraId="1A376556" w14:textId="77777777"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p>
          <w:p w14:paraId="5A3754E7" w14:textId="0A0CB272" w:rsidR="00B81BB8" w:rsidRPr="00AC72BF" w:rsidRDefault="0042270A"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An article</w:t>
            </w:r>
            <w:r w:rsidR="00B81BB8" w:rsidRPr="00AC72BF">
              <w:rPr>
                <w:rFonts w:ascii="Times New Roman" w:hAnsi="Times New Roman"/>
                <w:bCs/>
                <w:sz w:val="24"/>
                <w:szCs w:val="24"/>
                <w:lang w:val="en-GB"/>
              </w:rPr>
              <w:t xml:space="preserve"> in JAMA  about </w:t>
            </w:r>
            <w:r>
              <w:rPr>
                <w:rFonts w:ascii="Times New Roman" w:hAnsi="Times New Roman"/>
                <w:bCs/>
                <w:sz w:val="24"/>
                <w:szCs w:val="24"/>
                <w:lang w:val="en-GB"/>
              </w:rPr>
              <w:t xml:space="preserve">the </w:t>
            </w:r>
            <w:r w:rsidR="00B81BB8" w:rsidRPr="00AC72BF">
              <w:rPr>
                <w:rFonts w:ascii="Times New Roman" w:hAnsi="Times New Roman"/>
                <w:bCs/>
                <w:sz w:val="24"/>
                <w:szCs w:val="24"/>
                <w:lang w:val="en-GB"/>
              </w:rPr>
              <w:t xml:space="preserve">genetics of schizophrenia and should probably </w:t>
            </w:r>
            <w:r>
              <w:rPr>
                <w:rFonts w:ascii="Times New Roman" w:hAnsi="Times New Roman"/>
                <w:bCs/>
                <w:sz w:val="24"/>
                <w:szCs w:val="24"/>
                <w:lang w:val="en-GB"/>
              </w:rPr>
              <w:t xml:space="preserve">be </w:t>
            </w:r>
            <w:r w:rsidR="00B81BB8" w:rsidRPr="00AC72BF">
              <w:rPr>
                <w:rFonts w:ascii="Times New Roman" w:hAnsi="Times New Roman"/>
                <w:bCs/>
                <w:sz w:val="24"/>
                <w:szCs w:val="24"/>
                <w:lang w:val="en-GB"/>
              </w:rPr>
              <w:t>deleted</w:t>
            </w:r>
            <w:r>
              <w:rPr>
                <w:rFonts w:ascii="Times New Roman" w:hAnsi="Times New Roman"/>
                <w:bCs/>
                <w:sz w:val="24"/>
                <w:szCs w:val="24"/>
                <w:lang w:val="en-GB"/>
              </w:rPr>
              <w:t>,</w:t>
            </w:r>
            <w:r w:rsidR="00B81BB8" w:rsidRPr="00AC72BF">
              <w:rPr>
                <w:rFonts w:ascii="Times New Roman" w:hAnsi="Times New Roman"/>
                <w:bCs/>
                <w:sz w:val="24"/>
                <w:szCs w:val="24"/>
                <w:lang w:val="en-GB"/>
              </w:rPr>
              <w:t>as members of the 2. LF are only listed in consortium</w:t>
            </w:r>
            <w:r>
              <w:rPr>
                <w:rFonts w:ascii="Times New Roman" w:hAnsi="Times New Roman"/>
                <w:bCs/>
                <w:sz w:val="24"/>
                <w:szCs w:val="24"/>
                <w:lang w:val="en-GB"/>
              </w:rPr>
              <w:t xml:space="preserve"> and</w:t>
            </w:r>
            <w:r w:rsidR="00B81BB8" w:rsidRPr="00AC72BF">
              <w:rPr>
                <w:rFonts w:ascii="Times New Roman" w:hAnsi="Times New Roman"/>
                <w:bCs/>
                <w:sz w:val="24"/>
                <w:szCs w:val="24"/>
                <w:lang w:val="en-GB"/>
              </w:rPr>
              <w:t xml:space="preserve"> are not among authors of the article. </w:t>
            </w:r>
          </w:p>
          <w:p w14:paraId="17C118C2" w14:textId="77777777"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B77D10">
              <w:rPr>
                <w:rFonts w:ascii="Times New Roman" w:hAnsi="Times New Roman"/>
                <w:b/>
                <w:bCs/>
                <w:sz w:val="24"/>
                <w:szCs w:val="24"/>
                <w:lang w:val="en-GB"/>
              </w:rPr>
              <w:t>Conclusions</w:t>
            </w:r>
            <w:r w:rsidRPr="00AC72BF">
              <w:rPr>
                <w:rFonts w:ascii="Times New Roman" w:hAnsi="Times New Roman"/>
                <w:bCs/>
                <w:sz w:val="24"/>
                <w:szCs w:val="24"/>
                <w:lang w:val="en-GB"/>
              </w:rPr>
              <w:t>:</w:t>
            </w:r>
          </w:p>
          <w:p w14:paraId="65DF8119" w14:textId="41535D61"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lastRenderedPageBreak/>
              <w:t>In the group D1 of Psychiatry and Sexology, there are 10 articles suitable for evaluation.  Three of them are from 1. LF</w:t>
            </w:r>
            <w:r w:rsidR="001222C6">
              <w:rPr>
                <w:rFonts w:ascii="Times New Roman" w:hAnsi="Times New Roman"/>
                <w:bCs/>
                <w:sz w:val="24"/>
                <w:szCs w:val="24"/>
                <w:lang w:val="en-GB"/>
              </w:rPr>
              <w:t xml:space="preserve"> and are from</w:t>
            </w:r>
            <w:r w:rsidRPr="00AC72BF">
              <w:rPr>
                <w:rFonts w:ascii="Times New Roman" w:hAnsi="Times New Roman"/>
                <w:bCs/>
                <w:sz w:val="24"/>
                <w:szCs w:val="24"/>
                <w:lang w:val="en-GB"/>
              </w:rPr>
              <w:t xml:space="preserve"> the </w:t>
            </w:r>
            <w:r w:rsidR="001222C6">
              <w:rPr>
                <w:rFonts w:ascii="Times New Roman" w:hAnsi="Times New Roman"/>
                <w:bCs/>
                <w:sz w:val="24"/>
                <w:szCs w:val="24"/>
                <w:lang w:val="en-GB"/>
              </w:rPr>
              <w:t>D</w:t>
            </w:r>
            <w:r w:rsidRPr="00AC72BF">
              <w:rPr>
                <w:rFonts w:ascii="Times New Roman" w:hAnsi="Times New Roman"/>
                <w:bCs/>
                <w:sz w:val="24"/>
                <w:szCs w:val="24"/>
                <w:lang w:val="en-GB"/>
              </w:rPr>
              <w:t xml:space="preserve">epartment of </w:t>
            </w:r>
            <w:r w:rsidR="001222C6">
              <w:rPr>
                <w:rFonts w:ascii="Times New Roman" w:hAnsi="Times New Roman"/>
                <w:bCs/>
                <w:sz w:val="24"/>
                <w:szCs w:val="24"/>
                <w:lang w:val="en-GB"/>
              </w:rPr>
              <w:t>E</w:t>
            </w:r>
            <w:r w:rsidRPr="00AC72BF">
              <w:rPr>
                <w:rFonts w:ascii="Times New Roman" w:hAnsi="Times New Roman"/>
                <w:bCs/>
                <w:sz w:val="24"/>
                <w:szCs w:val="24"/>
                <w:lang w:val="en-GB"/>
              </w:rPr>
              <w:t xml:space="preserve">ating </w:t>
            </w:r>
            <w:r w:rsidR="001222C6">
              <w:rPr>
                <w:rFonts w:ascii="Times New Roman" w:hAnsi="Times New Roman"/>
                <w:bCs/>
                <w:sz w:val="24"/>
                <w:szCs w:val="24"/>
                <w:lang w:val="en-GB"/>
              </w:rPr>
              <w:t>D</w:t>
            </w:r>
            <w:r w:rsidRPr="00AC72BF">
              <w:rPr>
                <w:rFonts w:ascii="Times New Roman" w:hAnsi="Times New Roman"/>
                <w:bCs/>
                <w:sz w:val="24"/>
                <w:szCs w:val="24"/>
                <w:lang w:val="en-GB"/>
              </w:rPr>
              <w:t xml:space="preserve">isorders under the lead author of Dr. Papezova. The main addition to the published studies is providing the genetic material of properly diagnosed patients. The </w:t>
            </w:r>
            <w:r w:rsidR="001222C6">
              <w:rPr>
                <w:rFonts w:ascii="Times New Roman" w:hAnsi="Times New Roman"/>
                <w:bCs/>
                <w:sz w:val="24"/>
                <w:szCs w:val="24"/>
                <w:lang w:val="en-GB"/>
              </w:rPr>
              <w:t>significance of this article for</w:t>
            </w:r>
            <w:r w:rsidRPr="00AC72BF">
              <w:rPr>
                <w:rFonts w:ascii="Times New Roman" w:hAnsi="Times New Roman"/>
                <w:bCs/>
                <w:sz w:val="24"/>
                <w:szCs w:val="24"/>
                <w:lang w:val="en-GB"/>
              </w:rPr>
              <w:t xml:space="preserve"> CUNI </w:t>
            </w:r>
            <w:r w:rsidR="001222C6">
              <w:rPr>
                <w:rFonts w:ascii="Times New Roman" w:hAnsi="Times New Roman"/>
                <w:bCs/>
                <w:sz w:val="24"/>
                <w:szCs w:val="24"/>
                <w:lang w:val="en-GB"/>
              </w:rPr>
              <w:t xml:space="preserve">is the recognition of this department as a </w:t>
            </w:r>
            <w:r w:rsidRPr="00AC72BF">
              <w:rPr>
                <w:rFonts w:ascii="Times New Roman" w:hAnsi="Times New Roman"/>
                <w:bCs/>
                <w:sz w:val="24"/>
                <w:szCs w:val="24"/>
                <w:lang w:val="en-GB"/>
              </w:rPr>
              <w:t xml:space="preserve"> reliable partner for international cooperation and co-authoring in highly recognized journals. </w:t>
            </w:r>
          </w:p>
          <w:p w14:paraId="4A6885E1" w14:textId="26EF3929" w:rsidR="00B81BB8" w:rsidRPr="00AC72BF"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All other articles are from 3. LF. There is a problem of assignment of these critical works (or publications) to the profile of CUNI. All authors are primary affiliated to the National Institute of Mental Health, Czech Republic (do not be confused by the same name of the institution to the USA NIMH) and ha</w:t>
            </w:r>
            <w:r w:rsidR="001222C6">
              <w:rPr>
                <w:rFonts w:ascii="Times New Roman" w:hAnsi="Times New Roman"/>
                <w:bCs/>
                <w:sz w:val="24"/>
                <w:szCs w:val="24"/>
                <w:lang w:val="en-GB"/>
              </w:rPr>
              <w:t>ve</w:t>
            </w:r>
            <w:r w:rsidRPr="00AC72BF">
              <w:rPr>
                <w:rFonts w:ascii="Times New Roman" w:hAnsi="Times New Roman"/>
                <w:bCs/>
                <w:sz w:val="24"/>
                <w:szCs w:val="24"/>
                <w:lang w:val="en-GB"/>
              </w:rPr>
              <w:t xml:space="preserve"> affiliation to the 3. LF as a secondary affiliation. This problem should be take into account </w:t>
            </w:r>
            <w:r w:rsidR="001222C6">
              <w:rPr>
                <w:rFonts w:ascii="Times New Roman" w:hAnsi="Times New Roman"/>
                <w:bCs/>
                <w:sz w:val="24"/>
                <w:szCs w:val="24"/>
                <w:lang w:val="en-GB"/>
              </w:rPr>
              <w:t xml:space="preserve">in the </w:t>
            </w:r>
            <w:r w:rsidRPr="00AC72BF">
              <w:rPr>
                <w:rFonts w:ascii="Times New Roman" w:hAnsi="Times New Roman"/>
                <w:bCs/>
                <w:sz w:val="24"/>
                <w:szCs w:val="24"/>
                <w:lang w:val="en-GB"/>
              </w:rPr>
              <w:t xml:space="preserve"> CUNI</w:t>
            </w:r>
            <w:r w:rsidR="001222C6">
              <w:rPr>
                <w:rFonts w:ascii="Times New Roman" w:hAnsi="Times New Roman"/>
                <w:bCs/>
                <w:sz w:val="24"/>
                <w:szCs w:val="24"/>
                <w:lang w:val="en-GB"/>
              </w:rPr>
              <w:t xml:space="preserve"> evaluation process</w:t>
            </w:r>
            <w:r w:rsidRPr="00AC72BF">
              <w:rPr>
                <w:rFonts w:ascii="Times New Roman" w:hAnsi="Times New Roman"/>
                <w:bCs/>
                <w:sz w:val="24"/>
                <w:szCs w:val="24"/>
                <w:lang w:val="en-GB"/>
              </w:rPr>
              <w:t>. There are</w:t>
            </w:r>
            <w:r w:rsidR="001222C6">
              <w:rPr>
                <w:rFonts w:ascii="Times New Roman" w:hAnsi="Times New Roman"/>
                <w:bCs/>
                <w:sz w:val="24"/>
                <w:szCs w:val="24"/>
                <w:lang w:val="en-GB"/>
              </w:rPr>
              <w:t xml:space="preserve"> also</w:t>
            </w:r>
            <w:r w:rsidRPr="00AC72BF">
              <w:rPr>
                <w:rFonts w:ascii="Times New Roman" w:hAnsi="Times New Roman"/>
                <w:bCs/>
                <w:sz w:val="24"/>
                <w:szCs w:val="24"/>
                <w:lang w:val="en-GB"/>
              </w:rPr>
              <w:t xml:space="preserve"> authors who are </w:t>
            </w:r>
            <w:r w:rsidR="001222C6">
              <w:rPr>
                <w:rFonts w:ascii="Times New Roman" w:hAnsi="Times New Roman"/>
                <w:bCs/>
                <w:sz w:val="24"/>
                <w:szCs w:val="24"/>
                <w:lang w:val="en-GB"/>
              </w:rPr>
              <w:t>fully employed by the</w:t>
            </w:r>
            <w:r w:rsidRPr="00AC72BF">
              <w:rPr>
                <w:rFonts w:ascii="Times New Roman" w:hAnsi="Times New Roman"/>
                <w:bCs/>
                <w:sz w:val="24"/>
                <w:szCs w:val="24"/>
                <w:lang w:val="en-GB"/>
              </w:rPr>
              <w:t>Czech NIMH (Horacek, Filip, Winkler)</w:t>
            </w:r>
            <w:r w:rsidR="001222C6">
              <w:rPr>
                <w:rFonts w:ascii="Times New Roman" w:hAnsi="Times New Roman"/>
                <w:bCs/>
                <w:sz w:val="24"/>
                <w:szCs w:val="24"/>
                <w:lang w:val="en-GB"/>
              </w:rPr>
              <w:t>.</w:t>
            </w:r>
            <w:r w:rsidRPr="00AC72BF">
              <w:rPr>
                <w:rFonts w:ascii="Times New Roman" w:hAnsi="Times New Roman"/>
                <w:bCs/>
                <w:sz w:val="24"/>
                <w:szCs w:val="24"/>
                <w:lang w:val="en-GB"/>
              </w:rPr>
              <w:t xml:space="preserve"> </w:t>
            </w:r>
            <w:r w:rsidR="001222C6">
              <w:rPr>
                <w:rFonts w:ascii="Times New Roman" w:hAnsi="Times New Roman"/>
                <w:bCs/>
                <w:sz w:val="24"/>
                <w:szCs w:val="24"/>
                <w:lang w:val="en-GB"/>
              </w:rPr>
              <w:t xml:space="preserve">In addition, other </w:t>
            </w:r>
            <w:r w:rsidRPr="00AC72BF">
              <w:rPr>
                <w:rFonts w:ascii="Times New Roman" w:hAnsi="Times New Roman"/>
                <w:bCs/>
                <w:sz w:val="24"/>
                <w:szCs w:val="24"/>
                <w:lang w:val="en-GB"/>
              </w:rPr>
              <w:t xml:space="preserve">authors (Alda, Hajek) who are internationally recognized are employed at the Department of Psychiatry, Dalhousie University, Halifax, although they started their careers at NIMH.  </w:t>
            </w:r>
          </w:p>
          <w:p w14:paraId="26E4F4DD" w14:textId="77777777" w:rsidR="00B81BB8" w:rsidRDefault="00B81BB8" w:rsidP="00B81BB8">
            <w:pPr>
              <w:pStyle w:val="Odstavecseseznamem"/>
              <w:spacing w:after="0" w:line="360" w:lineRule="auto"/>
              <w:ind w:left="360"/>
              <w:jc w:val="both"/>
              <w:rPr>
                <w:rFonts w:ascii="Times New Roman" w:hAnsi="Times New Roman"/>
                <w:bCs/>
                <w:sz w:val="24"/>
                <w:szCs w:val="24"/>
                <w:lang w:val="en-GB"/>
              </w:rPr>
            </w:pPr>
            <w:r w:rsidRPr="00AC72BF">
              <w:rPr>
                <w:rFonts w:ascii="Times New Roman" w:hAnsi="Times New Roman"/>
                <w:bCs/>
                <w:sz w:val="24"/>
                <w:szCs w:val="24"/>
                <w:lang w:val="en-GB"/>
              </w:rPr>
              <w:t>It is clear that Czech NIMH affiliated with 3. LF is a leading centre for research in psychiatry in the Czech Republic.  This institution cooperates with other Faculties of Medicine of CUNI but also with other institutions in the Czech Republic and abroad.</w:t>
            </w:r>
          </w:p>
          <w:p w14:paraId="389279E2" w14:textId="1BB934BB" w:rsidR="00B81BB8" w:rsidRDefault="00B81BB8" w:rsidP="00B81BB8">
            <w:pPr>
              <w:pStyle w:val="Odstavecseseznamem"/>
              <w:spacing w:after="0" w:line="360" w:lineRule="auto"/>
              <w:ind w:left="360"/>
              <w:jc w:val="both"/>
              <w:rPr>
                <w:rFonts w:ascii="Times New Roman" w:hAnsi="Times New Roman"/>
                <w:bCs/>
                <w:sz w:val="24"/>
                <w:szCs w:val="24"/>
                <w:lang w:val="en-GB"/>
              </w:rPr>
            </w:pPr>
            <w:r>
              <w:rPr>
                <w:rFonts w:ascii="Times New Roman" w:hAnsi="Times New Roman"/>
                <w:bCs/>
                <w:sz w:val="24"/>
                <w:szCs w:val="24"/>
                <w:lang w:val="en-GB"/>
              </w:rPr>
              <w:t>It is possible to identify some flagships in psychiatry at CUNI. At the 3</w:t>
            </w:r>
            <w:r w:rsidRPr="00B77D10">
              <w:rPr>
                <w:rFonts w:ascii="Times New Roman" w:hAnsi="Times New Roman"/>
                <w:bCs/>
                <w:sz w:val="24"/>
                <w:szCs w:val="24"/>
                <w:vertAlign w:val="superscript"/>
                <w:lang w:val="en-GB"/>
              </w:rPr>
              <w:t>rd</w:t>
            </w:r>
            <w:r>
              <w:rPr>
                <w:rFonts w:ascii="Times New Roman" w:hAnsi="Times New Roman"/>
                <w:bCs/>
                <w:sz w:val="24"/>
                <w:szCs w:val="24"/>
                <w:lang w:val="en-GB"/>
              </w:rPr>
              <w:t xml:space="preserve"> Faculty of Medicine</w:t>
            </w:r>
            <w:r w:rsidR="001222C6">
              <w:rPr>
                <w:rFonts w:ascii="Times New Roman" w:hAnsi="Times New Roman"/>
                <w:bCs/>
                <w:sz w:val="24"/>
                <w:szCs w:val="24"/>
                <w:lang w:val="en-GB"/>
              </w:rPr>
              <w:t>. Prof.</w:t>
            </w:r>
            <w:r>
              <w:rPr>
                <w:rFonts w:ascii="Times New Roman" w:hAnsi="Times New Roman"/>
                <w:bCs/>
                <w:sz w:val="24"/>
                <w:szCs w:val="24"/>
                <w:lang w:val="en-GB"/>
              </w:rPr>
              <w:t xml:space="preserve"> Hoschl </w:t>
            </w:r>
            <w:r w:rsidR="001222C6">
              <w:rPr>
                <w:rFonts w:ascii="Times New Roman" w:hAnsi="Times New Roman"/>
                <w:bCs/>
                <w:sz w:val="24"/>
                <w:szCs w:val="24"/>
                <w:lang w:val="en-GB"/>
              </w:rPr>
              <w:t>is a departmental and international leader</w:t>
            </w:r>
            <w:r>
              <w:rPr>
                <w:rFonts w:ascii="Times New Roman" w:hAnsi="Times New Roman"/>
                <w:bCs/>
                <w:sz w:val="24"/>
                <w:szCs w:val="24"/>
                <w:lang w:val="en-GB"/>
              </w:rPr>
              <w:t>. There are several research fields with both high attractivity and level of scientific work (e.g. MRI in psychiatry, psychotropic substances for treatment of mental disorders).  The authors from 1</w:t>
            </w:r>
            <w:r w:rsidRPr="00B77D10">
              <w:rPr>
                <w:rFonts w:ascii="Times New Roman" w:hAnsi="Times New Roman"/>
                <w:bCs/>
                <w:sz w:val="24"/>
                <w:szCs w:val="24"/>
                <w:vertAlign w:val="superscript"/>
                <w:lang w:val="en-GB"/>
              </w:rPr>
              <w:t>st</w:t>
            </w:r>
            <w:r>
              <w:rPr>
                <w:rFonts w:ascii="Times New Roman" w:hAnsi="Times New Roman"/>
                <w:bCs/>
                <w:sz w:val="24"/>
                <w:szCs w:val="24"/>
                <w:lang w:val="en-GB"/>
              </w:rPr>
              <w:t xml:space="preserve"> Faculty have the largest number of publications in general. They cover a broad spectrum of subfields in psychiatry including sexology, </w:t>
            </w:r>
            <w:r w:rsidR="001222C6">
              <w:rPr>
                <w:rFonts w:ascii="Times New Roman" w:hAnsi="Times New Roman"/>
                <w:bCs/>
                <w:sz w:val="24"/>
                <w:szCs w:val="24"/>
                <w:lang w:val="en-GB"/>
              </w:rPr>
              <w:t xml:space="preserve">without a </w:t>
            </w:r>
            <w:r>
              <w:rPr>
                <w:rFonts w:ascii="Times New Roman" w:hAnsi="Times New Roman"/>
                <w:bCs/>
                <w:sz w:val="24"/>
                <w:szCs w:val="24"/>
                <w:lang w:val="en-GB"/>
              </w:rPr>
              <w:t xml:space="preserve">clear leading research topic. Psychiatry </w:t>
            </w:r>
            <w:r w:rsidR="001222C6">
              <w:rPr>
                <w:rFonts w:ascii="Times New Roman" w:hAnsi="Times New Roman"/>
                <w:bCs/>
                <w:sz w:val="24"/>
                <w:szCs w:val="24"/>
                <w:lang w:val="en-GB"/>
              </w:rPr>
              <w:t>at the</w:t>
            </w:r>
            <w:r>
              <w:rPr>
                <w:rFonts w:ascii="Times New Roman" w:hAnsi="Times New Roman"/>
                <w:bCs/>
                <w:sz w:val="24"/>
                <w:szCs w:val="24"/>
                <w:lang w:val="en-GB"/>
              </w:rPr>
              <w:t xml:space="preserve"> 2</w:t>
            </w:r>
            <w:r w:rsidRPr="00B77D10">
              <w:rPr>
                <w:rFonts w:ascii="Times New Roman" w:hAnsi="Times New Roman"/>
                <w:bCs/>
                <w:sz w:val="24"/>
                <w:szCs w:val="24"/>
                <w:vertAlign w:val="superscript"/>
                <w:lang w:val="en-GB"/>
              </w:rPr>
              <w:t>nd</w:t>
            </w:r>
            <w:r>
              <w:rPr>
                <w:rFonts w:ascii="Times New Roman" w:hAnsi="Times New Roman"/>
                <w:bCs/>
                <w:sz w:val="24"/>
                <w:szCs w:val="24"/>
                <w:lang w:val="en-GB"/>
              </w:rPr>
              <w:t xml:space="preserve"> Faculty of Medicine is oriented to child psychiatry</w:t>
            </w:r>
            <w:r w:rsidR="001222C6">
              <w:rPr>
                <w:rFonts w:ascii="Times New Roman" w:hAnsi="Times New Roman"/>
                <w:bCs/>
                <w:sz w:val="24"/>
                <w:szCs w:val="24"/>
                <w:lang w:val="en-GB"/>
              </w:rPr>
              <w:t>,</w:t>
            </w:r>
            <w:r>
              <w:rPr>
                <w:rFonts w:ascii="Times New Roman" w:hAnsi="Times New Roman"/>
                <w:bCs/>
                <w:sz w:val="24"/>
                <w:szCs w:val="24"/>
                <w:lang w:val="en-GB"/>
              </w:rPr>
              <w:t xml:space="preserve"> and child autism is recently extremely important field of interest. L. Hosak from </w:t>
            </w:r>
            <w:r w:rsidR="003B7C5A">
              <w:rPr>
                <w:rFonts w:ascii="Times New Roman" w:hAnsi="Times New Roman"/>
                <w:bCs/>
                <w:sz w:val="24"/>
                <w:szCs w:val="24"/>
                <w:lang w:val="en-GB"/>
              </w:rPr>
              <w:t xml:space="preserve">the </w:t>
            </w:r>
            <w:r>
              <w:rPr>
                <w:rFonts w:ascii="Times New Roman" w:hAnsi="Times New Roman"/>
                <w:bCs/>
                <w:sz w:val="24"/>
                <w:szCs w:val="24"/>
                <w:lang w:val="en-GB"/>
              </w:rPr>
              <w:t xml:space="preserve">Faculty of Medicine Hradec Kralove </w:t>
            </w:r>
            <w:r w:rsidR="003B7C5A">
              <w:rPr>
                <w:rFonts w:ascii="Times New Roman" w:hAnsi="Times New Roman"/>
                <w:bCs/>
                <w:sz w:val="24"/>
                <w:szCs w:val="24"/>
                <w:lang w:val="en-GB"/>
              </w:rPr>
              <w:t xml:space="preserve">collaborates internationally on </w:t>
            </w:r>
            <w:r>
              <w:rPr>
                <w:rFonts w:ascii="Times New Roman" w:hAnsi="Times New Roman"/>
                <w:bCs/>
                <w:sz w:val="24"/>
                <w:szCs w:val="24"/>
                <w:lang w:val="en-GB"/>
              </w:rPr>
              <w:t xml:space="preserve">publications on genetics and epigenetics in psychiatry. </w:t>
            </w:r>
            <w:r w:rsidR="003B7C5A">
              <w:rPr>
                <w:rFonts w:ascii="Times New Roman" w:hAnsi="Times New Roman"/>
                <w:bCs/>
                <w:sz w:val="24"/>
                <w:szCs w:val="24"/>
                <w:lang w:val="en-GB"/>
              </w:rPr>
              <w:t xml:space="preserve">The </w:t>
            </w:r>
            <w:r>
              <w:rPr>
                <w:rFonts w:ascii="Times New Roman" w:hAnsi="Times New Roman"/>
                <w:bCs/>
                <w:sz w:val="24"/>
                <w:szCs w:val="24"/>
                <w:lang w:val="en-GB"/>
              </w:rPr>
              <w:t>Faculty of Medicine in Pilsen has less research and publication activity.</w:t>
            </w:r>
            <w:r w:rsidR="007956C9">
              <w:rPr>
                <w:rFonts w:ascii="Times New Roman" w:hAnsi="Times New Roman"/>
                <w:bCs/>
                <w:sz w:val="24"/>
                <w:szCs w:val="24"/>
                <w:lang w:val="en-GB"/>
              </w:rPr>
              <w:t xml:space="preserve">  However, Dr. Jan Vevera has published a number of articles on the underlying genetic and psychiatric basis of violence and impulsive violence.</w:t>
            </w:r>
            <w:r w:rsidR="001974BD">
              <w:rPr>
                <w:rFonts w:ascii="Times New Roman" w:hAnsi="Times New Roman"/>
                <w:bCs/>
                <w:sz w:val="24"/>
                <w:szCs w:val="24"/>
                <w:lang w:val="en-GB"/>
              </w:rPr>
              <w:t xml:space="preserve">  His H-index is 11 and his research has been cited 413 times. However, this is an area of increasing importance.  Such investigators are likely to be under the radar in this evaluation and methods to include them would be helpful in future reviews of the faculty.</w:t>
            </w:r>
            <w:r>
              <w:rPr>
                <w:rFonts w:ascii="Times New Roman" w:hAnsi="Times New Roman"/>
                <w:bCs/>
                <w:sz w:val="24"/>
                <w:szCs w:val="24"/>
                <w:lang w:val="en-GB"/>
              </w:rPr>
              <w:t xml:space="preserve">  </w:t>
            </w:r>
          </w:p>
          <w:p w14:paraId="665AA466" w14:textId="77777777" w:rsidR="00B81BB8" w:rsidRDefault="00B81BB8" w:rsidP="00B81BB8">
            <w:pPr>
              <w:pStyle w:val="Odstavecseseznamem"/>
              <w:spacing w:after="0" w:line="360" w:lineRule="auto"/>
              <w:ind w:left="360"/>
              <w:jc w:val="both"/>
              <w:rPr>
                <w:rFonts w:ascii="Times New Roman" w:hAnsi="Times New Roman"/>
                <w:bCs/>
                <w:sz w:val="24"/>
                <w:szCs w:val="24"/>
                <w:lang w:val="en-GB"/>
              </w:rPr>
            </w:pPr>
          </w:p>
          <w:p w14:paraId="3E61B9F7" w14:textId="77777777" w:rsidR="00B81BB8" w:rsidRPr="004F172A" w:rsidRDefault="00B81BB8" w:rsidP="00B81BB8">
            <w:pPr>
              <w:pStyle w:val="Odstavecseseznamem"/>
              <w:spacing w:after="0" w:line="360" w:lineRule="auto"/>
              <w:ind w:left="360"/>
              <w:jc w:val="both"/>
              <w:rPr>
                <w:rFonts w:ascii="Times New Roman" w:hAnsi="Times New Roman"/>
                <w:bCs/>
                <w:sz w:val="24"/>
                <w:szCs w:val="24"/>
                <w:lang w:val="sk-SK"/>
              </w:rPr>
            </w:pPr>
            <w:r>
              <w:rPr>
                <w:rFonts w:ascii="Times New Roman" w:hAnsi="Times New Roman"/>
                <w:bCs/>
                <w:sz w:val="24"/>
                <w:szCs w:val="24"/>
                <w:lang w:val="en-GB"/>
              </w:rPr>
              <w:t xml:space="preserve">According the chart below from WoS, CUNI is comparable to the Universities of Heidelberg, Copenhagen, Milan and Vienna, is better than University of Warsaw. University of Leuven is much better in quantity of articles per author.  </w:t>
            </w:r>
          </w:p>
          <w:p w14:paraId="309DB75A" w14:textId="77777777" w:rsidR="003F37F1" w:rsidRPr="00AC72BF" w:rsidRDefault="003F37F1"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noProof/>
                <w:sz w:val="24"/>
                <w:szCs w:val="24"/>
                <w:lang w:eastAsia="cs-CZ"/>
              </w:rPr>
              <w:drawing>
                <wp:inline distT="0" distB="0" distL="0" distR="0" wp14:anchorId="7CF3F9A7" wp14:editId="36BD69BD">
                  <wp:extent cx="5759450" cy="3702504"/>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702504"/>
                          </a:xfrm>
                          <a:prstGeom prst="rect">
                            <a:avLst/>
                          </a:prstGeom>
                          <a:noFill/>
                          <a:ln>
                            <a:noFill/>
                          </a:ln>
                        </pic:spPr>
                      </pic:pic>
                    </a:graphicData>
                  </a:graphic>
                </wp:inline>
              </w:drawing>
            </w:r>
          </w:p>
          <w:p w14:paraId="2D8FB3DD" w14:textId="77777777" w:rsidR="003F37F1" w:rsidRPr="00AC72BF" w:rsidRDefault="003F37F1" w:rsidP="003672BA">
            <w:pPr>
              <w:pStyle w:val="Odstavecseseznamem"/>
              <w:spacing w:after="0" w:line="360" w:lineRule="auto"/>
              <w:ind w:left="360" w:right="93"/>
              <w:jc w:val="both"/>
              <w:rPr>
                <w:rFonts w:ascii="Times New Roman" w:hAnsi="Times New Roman"/>
                <w:bCs/>
                <w:sz w:val="24"/>
                <w:szCs w:val="24"/>
                <w:lang w:val="en-GB"/>
              </w:rPr>
            </w:pPr>
          </w:p>
          <w:p w14:paraId="7869B412" w14:textId="26199BAB" w:rsidR="003F37F1" w:rsidRPr="00AC72BF" w:rsidRDefault="003F37F1" w:rsidP="00726560">
            <w:pPr>
              <w:pStyle w:val="Odstavecseseznamem"/>
              <w:spacing w:after="0" w:line="360" w:lineRule="auto"/>
              <w:ind w:left="360" w:right="93"/>
              <w:jc w:val="both"/>
              <w:rPr>
                <w:rFonts w:ascii="Times New Roman" w:eastAsia="Times New Roman" w:hAnsi="Times New Roman"/>
                <w:color w:val="000000"/>
                <w:sz w:val="24"/>
                <w:szCs w:val="24"/>
                <w:lang w:val="en-GB"/>
              </w:rPr>
            </w:pPr>
          </w:p>
        </w:tc>
        <w:tc>
          <w:tcPr>
            <w:tcW w:w="864" w:type="dxa"/>
            <w:tcBorders>
              <w:top w:val="nil"/>
              <w:left w:val="nil"/>
              <w:bottom w:val="nil"/>
              <w:right w:val="nil"/>
            </w:tcBorders>
            <w:shd w:val="clear" w:color="auto" w:fill="auto"/>
            <w:noWrap/>
            <w:vAlign w:val="bottom"/>
            <w:hideMark/>
          </w:tcPr>
          <w:p w14:paraId="0A2E05D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070" w:type="dxa"/>
            <w:tcBorders>
              <w:top w:val="nil"/>
              <w:left w:val="nil"/>
              <w:bottom w:val="nil"/>
              <w:right w:val="nil"/>
            </w:tcBorders>
            <w:shd w:val="clear" w:color="auto" w:fill="auto"/>
            <w:noWrap/>
            <w:vAlign w:val="bottom"/>
            <w:hideMark/>
          </w:tcPr>
          <w:p w14:paraId="22A1A60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6A12A3"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659B961"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B2980A0" w14:textId="77777777" w:rsidR="003F37F1" w:rsidRPr="00AC72BF" w:rsidRDefault="003F37F1" w:rsidP="003672BA">
            <w:pPr>
              <w:spacing w:after="0" w:line="240" w:lineRule="auto"/>
              <w:ind w:right="93"/>
              <w:rPr>
                <w:rFonts w:ascii="Times New Roman" w:eastAsia="Times New Roman" w:hAnsi="Times New Roman"/>
                <w:color w:val="000000"/>
                <w:sz w:val="24"/>
                <w:szCs w:val="24"/>
                <w:lang w:val="en-GB"/>
              </w:rPr>
            </w:pPr>
          </w:p>
        </w:tc>
      </w:tr>
    </w:tbl>
    <w:p w14:paraId="06DD22EB" w14:textId="77777777" w:rsidR="00011ABA" w:rsidRPr="00AC72BF" w:rsidRDefault="00011ABA" w:rsidP="003672BA">
      <w:pPr>
        <w:spacing w:after="0" w:line="360" w:lineRule="auto"/>
        <w:ind w:right="93"/>
        <w:jc w:val="both"/>
        <w:rPr>
          <w:rFonts w:ascii="Times New Roman" w:hAnsi="Times New Roman"/>
          <w:bCs/>
          <w:sz w:val="24"/>
          <w:szCs w:val="24"/>
          <w:lang w:val="en-GB"/>
        </w:rPr>
      </w:pPr>
    </w:p>
    <w:p w14:paraId="2249ED03" w14:textId="77777777" w:rsidR="00D34664" w:rsidRPr="00AC72BF" w:rsidRDefault="00D34664" w:rsidP="003672BA">
      <w:pPr>
        <w:pStyle w:val="Odstavecseseznamem"/>
        <w:spacing w:after="0" w:line="360" w:lineRule="auto"/>
        <w:ind w:left="360" w:right="93"/>
        <w:jc w:val="both"/>
        <w:rPr>
          <w:rFonts w:ascii="Times New Roman" w:hAnsi="Times New Roman"/>
          <w:bCs/>
          <w:sz w:val="24"/>
          <w:szCs w:val="24"/>
          <w:lang w:val="en-GB"/>
        </w:rPr>
      </w:pPr>
    </w:p>
    <w:p w14:paraId="712BB591" w14:textId="77777777" w:rsidR="0070080E" w:rsidRPr="00AC72BF" w:rsidRDefault="0070080E" w:rsidP="003672BA">
      <w:pPr>
        <w:pStyle w:val="Odstavecseseznamem"/>
        <w:spacing w:line="360" w:lineRule="auto"/>
        <w:ind w:left="360" w:right="93" w:hanging="76"/>
        <w:jc w:val="both"/>
        <w:rPr>
          <w:rFonts w:ascii="Times New Roman" w:hAnsi="Times New Roman"/>
          <w:b/>
          <w:bCs/>
          <w:sz w:val="24"/>
          <w:szCs w:val="24"/>
          <w:lang w:val="en-GB"/>
        </w:rPr>
      </w:pPr>
      <w:r w:rsidRPr="00AC72BF">
        <w:rPr>
          <w:rFonts w:ascii="Times New Roman" w:hAnsi="Times New Roman"/>
          <w:b/>
          <w:bCs/>
          <w:sz w:val="24"/>
          <w:szCs w:val="24"/>
          <w:lang w:val="en-GB"/>
        </w:rPr>
        <w:lastRenderedPageBreak/>
        <w:t>Surgery</w:t>
      </w:r>
    </w:p>
    <w:p w14:paraId="375C825C"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General</w:t>
      </w:r>
    </w:p>
    <w:p w14:paraId="3758D9FA" w14:textId="77777777" w:rsidR="00132ED7" w:rsidRPr="00AC72BF" w:rsidRDefault="00132ED7" w:rsidP="00132ED7">
      <w:pPr>
        <w:rPr>
          <w:rFonts w:ascii="Times New Roman" w:hAnsi="Times New Roman"/>
          <w:color w:val="BFBFBF" w:themeColor="background1" w:themeShade="BF"/>
          <w:sz w:val="24"/>
          <w:szCs w:val="24"/>
          <w:lang w:val="en-US"/>
        </w:rPr>
      </w:pPr>
      <w:r w:rsidRPr="00AC72BF">
        <w:rPr>
          <w:rFonts w:ascii="Times New Roman" w:hAnsi="Times New Roman"/>
          <w:sz w:val="24"/>
          <w:szCs w:val="24"/>
        </w:rPr>
        <w:t xml:space="preserve">Across all 5 medical faculties, a total of 186 outputs were produced within the Surgery subfield, which represents 1.1 outputs per member of staff.  A total number of only 4 publications fall into the D1 category, and another 18 in the Q1 category. This adds to 22 papers, which were analysed for the purpose of this review. </w:t>
      </w:r>
      <w:r w:rsidRPr="00AC72BF">
        <w:rPr>
          <w:rFonts w:ascii="Times New Roman" w:hAnsi="Times New Roman"/>
          <w:sz w:val="24"/>
          <w:szCs w:val="24"/>
          <w:lang w:val="en-US"/>
        </w:rPr>
        <w:t>Distribution between faculties is as follows: 1. LF: 12 papers (1 D1), 2. LF: 7 papers (2 D1), 3. LF: none, LFHK: 1 paper (D1), and LFP 2 papers (no D1)</w:t>
      </w:r>
      <w:r>
        <w:rPr>
          <w:rFonts w:ascii="Times New Roman" w:hAnsi="Times New Roman"/>
          <w:color w:val="BFBFBF" w:themeColor="background1" w:themeShade="BF"/>
          <w:sz w:val="24"/>
          <w:szCs w:val="24"/>
          <w:lang w:val="en-US"/>
        </w:rPr>
        <w:t>.</w:t>
      </w:r>
    </w:p>
    <w:p w14:paraId="66AF0A9C"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Authorship</w:t>
      </w:r>
    </w:p>
    <w:p w14:paraId="6436E4C0" w14:textId="32188F85" w:rsidR="00132ED7" w:rsidRPr="00AC72BF" w:rsidRDefault="00132ED7" w:rsidP="00132ED7">
      <w:pPr>
        <w:rPr>
          <w:rFonts w:ascii="Times New Roman" w:hAnsi="Times New Roman"/>
          <w:b/>
          <w:bCs/>
          <w:sz w:val="24"/>
          <w:szCs w:val="24"/>
        </w:rPr>
      </w:pPr>
      <w:r w:rsidRPr="00AC72BF">
        <w:rPr>
          <w:rFonts w:ascii="Times New Roman" w:hAnsi="Times New Roman"/>
          <w:sz w:val="24"/>
          <w:szCs w:val="24"/>
        </w:rPr>
        <w:t>Senior authorship (1</w:t>
      </w:r>
      <w:r w:rsidRPr="00AC72BF">
        <w:rPr>
          <w:rFonts w:ascii="Times New Roman" w:hAnsi="Times New Roman"/>
          <w:sz w:val="24"/>
          <w:szCs w:val="24"/>
          <w:vertAlign w:val="superscript"/>
        </w:rPr>
        <w:t>st</w:t>
      </w:r>
      <w:r w:rsidRPr="00AC72BF">
        <w:rPr>
          <w:rFonts w:ascii="Times New Roman" w:hAnsi="Times New Roman"/>
          <w:sz w:val="24"/>
          <w:szCs w:val="24"/>
        </w:rPr>
        <w:t xml:space="preserve"> and</w:t>
      </w:r>
      <w:r>
        <w:rPr>
          <w:rFonts w:ascii="Times New Roman" w:hAnsi="Times New Roman"/>
          <w:sz w:val="24"/>
          <w:szCs w:val="24"/>
        </w:rPr>
        <w:t>/or</w:t>
      </w:r>
      <w:r w:rsidRPr="00AC72BF">
        <w:rPr>
          <w:rFonts w:ascii="Times New Roman" w:hAnsi="Times New Roman"/>
          <w:sz w:val="24"/>
          <w:szCs w:val="24"/>
        </w:rPr>
        <w:t xml:space="preserve"> last author) was found to occur as follows in the respective faculties</w:t>
      </w:r>
      <w:r w:rsidR="001974BD">
        <w:rPr>
          <w:rFonts w:ascii="Times New Roman" w:hAnsi="Times New Roman"/>
          <w:sz w:val="24"/>
          <w:szCs w:val="24"/>
        </w:rPr>
        <w:t>:</w:t>
      </w:r>
      <w:r w:rsidRPr="00AC72BF">
        <w:rPr>
          <w:rFonts w:ascii="Times New Roman" w:hAnsi="Times New Roman"/>
          <w:sz w:val="24"/>
          <w:szCs w:val="24"/>
        </w:rPr>
        <w:t xml:space="preserve">  1.LF (12 papers), 2.LF (4), 3.LF (nil), LFPl (2) and LFHK (1).  With respect </w:t>
      </w:r>
      <w:r w:rsidR="00640574">
        <w:rPr>
          <w:rFonts w:ascii="Times New Roman" w:hAnsi="Times New Roman"/>
          <w:sz w:val="24"/>
          <w:szCs w:val="24"/>
        </w:rPr>
        <w:t>t</w:t>
      </w:r>
      <w:r w:rsidR="001974BD">
        <w:rPr>
          <w:rFonts w:ascii="Times New Roman" w:hAnsi="Times New Roman"/>
          <w:sz w:val="24"/>
          <w:szCs w:val="24"/>
        </w:rPr>
        <w:t>o</w:t>
      </w:r>
      <w:r w:rsidRPr="00AC72BF">
        <w:rPr>
          <w:rFonts w:ascii="Times New Roman" w:hAnsi="Times New Roman"/>
          <w:sz w:val="24"/>
          <w:szCs w:val="24"/>
        </w:rPr>
        <w:t xml:space="preserve"> sub-specialties within surgery, the most productive unit was General Surgery (GI), with an output of 8 out of 22. The rest were spread amongst 6 others (bariatric, breast, thoracic, vascular, urogenital and head and neck surgery), each with 1-2 papers.  All of the preceding were clinical studies, except for 4, that were either consensus statements, guidelines or congress proceedings.  There was only one randomized controlled trial (RTC) overall.</w:t>
      </w:r>
      <w:r>
        <w:rPr>
          <w:rFonts w:ascii="Times New Roman" w:hAnsi="Times New Roman"/>
          <w:sz w:val="24"/>
          <w:szCs w:val="24"/>
        </w:rPr>
        <w:t xml:space="preserve">  Unfortunately, none of the publications were in the external peer-reviewed group database, provided by CUNI.</w:t>
      </w:r>
    </w:p>
    <w:p w14:paraId="28F2910A"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Flagship authors</w:t>
      </w:r>
    </w:p>
    <w:p w14:paraId="7CB2E6B3" w14:textId="77734E25" w:rsidR="00132ED7" w:rsidRPr="00AC72BF" w:rsidRDefault="00132ED7" w:rsidP="00132ED7">
      <w:pPr>
        <w:rPr>
          <w:rFonts w:ascii="Times New Roman" w:hAnsi="Times New Roman"/>
          <w:b/>
          <w:bCs/>
          <w:sz w:val="24"/>
          <w:szCs w:val="24"/>
        </w:rPr>
      </w:pPr>
      <w:r w:rsidRPr="00AC72BF">
        <w:rPr>
          <w:rFonts w:ascii="Times New Roman" w:hAnsi="Times New Roman"/>
          <w:sz w:val="24"/>
          <w:szCs w:val="24"/>
        </w:rPr>
        <w:t xml:space="preserve">Even though the D1 papers were few (4), they were published in high-impact class journals: </w:t>
      </w:r>
      <w:r w:rsidRPr="00AC72BF">
        <w:rPr>
          <w:rFonts w:ascii="Times New Roman" w:hAnsi="Times New Roman"/>
          <w:sz w:val="24"/>
          <w:szCs w:val="24"/>
          <w:lang w:val="en-US"/>
        </w:rPr>
        <w:t xml:space="preserve">Annals of Surgery (IF 9.476), </w:t>
      </w:r>
      <w:r w:rsidRPr="00AC72BF">
        <w:rPr>
          <w:rFonts w:ascii="Times New Roman" w:hAnsi="Times New Roman"/>
          <w:sz w:val="24"/>
          <w:szCs w:val="24"/>
        </w:rPr>
        <w:t>British Journal of Surgery (</w:t>
      </w:r>
      <w:r w:rsidRPr="00AC72BF">
        <w:rPr>
          <w:rFonts w:ascii="Times New Roman" w:hAnsi="Times New Roman"/>
          <w:sz w:val="24"/>
          <w:szCs w:val="24"/>
          <w:lang w:val="en-US"/>
        </w:rPr>
        <w:t>IF 5.572) and Surgery (IF 3.476)</w:t>
      </w:r>
      <w:r w:rsidRPr="00AC72BF">
        <w:rPr>
          <w:rFonts w:ascii="Times New Roman" w:hAnsi="Times New Roman"/>
          <w:sz w:val="24"/>
          <w:szCs w:val="24"/>
        </w:rPr>
        <w:t xml:space="preserve">.  With such few top-level publications, it is difficult to determine true ‘flagship authors’, but these three stand out. 2 D1-1st authors: </w:t>
      </w:r>
      <w:r w:rsidRPr="00640B81">
        <w:rPr>
          <w:rFonts w:ascii="Times New Roman" w:hAnsi="Times New Roman"/>
          <w:b/>
          <w:bCs/>
          <w:sz w:val="24"/>
          <w:szCs w:val="24"/>
        </w:rPr>
        <w:t>Tomas Harustiak</w:t>
      </w:r>
      <w:r w:rsidRPr="00AC72BF">
        <w:rPr>
          <w:rFonts w:ascii="Times New Roman" w:hAnsi="Times New Roman"/>
          <w:sz w:val="24"/>
          <w:szCs w:val="24"/>
        </w:rPr>
        <w:t xml:space="preserve"> (1.LF; publ. 23, citations 165, </w:t>
      </w:r>
      <w:r w:rsidR="004F44C2">
        <w:rPr>
          <w:rFonts w:ascii="Times New Roman" w:hAnsi="Times New Roman"/>
          <w:sz w:val="24"/>
          <w:szCs w:val="24"/>
        </w:rPr>
        <w:t>H-index</w:t>
      </w:r>
      <w:r w:rsidRPr="00AC72BF">
        <w:rPr>
          <w:rFonts w:ascii="Times New Roman" w:hAnsi="Times New Roman"/>
          <w:sz w:val="24"/>
          <w:szCs w:val="24"/>
        </w:rPr>
        <w:t xml:space="preserve"> 8) and </w:t>
      </w:r>
      <w:r w:rsidRPr="00640B81">
        <w:rPr>
          <w:rFonts w:ascii="Times New Roman" w:hAnsi="Times New Roman"/>
          <w:b/>
          <w:bCs/>
          <w:sz w:val="24"/>
          <w:szCs w:val="24"/>
        </w:rPr>
        <w:t>Filip Cecka</w:t>
      </w:r>
      <w:r w:rsidRPr="00AC72BF">
        <w:rPr>
          <w:rFonts w:ascii="Times New Roman" w:hAnsi="Times New Roman"/>
          <w:sz w:val="24"/>
          <w:szCs w:val="24"/>
        </w:rPr>
        <w:t xml:space="preserve"> (LFHK; publ. 19, citations 101, </w:t>
      </w:r>
      <w:r w:rsidR="004F44C2">
        <w:rPr>
          <w:rFonts w:ascii="Times New Roman" w:hAnsi="Times New Roman"/>
          <w:sz w:val="24"/>
          <w:szCs w:val="24"/>
        </w:rPr>
        <w:t>H-index</w:t>
      </w:r>
      <w:r w:rsidRPr="00AC72BF">
        <w:rPr>
          <w:rFonts w:ascii="Times New Roman" w:hAnsi="Times New Roman"/>
          <w:sz w:val="24"/>
          <w:szCs w:val="24"/>
        </w:rPr>
        <w:t xml:space="preserve"> 7). There was one last author in D1, </w:t>
      </w:r>
      <w:r w:rsidRPr="00640B81">
        <w:rPr>
          <w:rFonts w:ascii="Times New Roman" w:hAnsi="Times New Roman"/>
          <w:b/>
          <w:bCs/>
          <w:sz w:val="24"/>
          <w:szCs w:val="24"/>
        </w:rPr>
        <w:t>Alan Stolz</w:t>
      </w:r>
      <w:r w:rsidR="00640574">
        <w:rPr>
          <w:rFonts w:ascii="Times New Roman" w:hAnsi="Times New Roman"/>
          <w:sz w:val="24"/>
          <w:szCs w:val="24"/>
        </w:rPr>
        <w:t xml:space="preserve"> (1.LF</w:t>
      </w:r>
      <w:r w:rsidRPr="00AC72BF">
        <w:rPr>
          <w:rFonts w:ascii="Times New Roman" w:hAnsi="Times New Roman"/>
          <w:sz w:val="24"/>
          <w:szCs w:val="24"/>
        </w:rPr>
        <w:t xml:space="preserve">). 2 of the 4 D1 outputs were either a consensus statement (30+ </w:t>
      </w:r>
      <w:r>
        <w:rPr>
          <w:rFonts w:ascii="Times New Roman" w:hAnsi="Times New Roman"/>
          <w:sz w:val="24"/>
          <w:szCs w:val="24"/>
        </w:rPr>
        <w:t>co-</w:t>
      </w:r>
      <w:r w:rsidRPr="00AC72BF">
        <w:rPr>
          <w:rFonts w:ascii="Times New Roman" w:hAnsi="Times New Roman"/>
          <w:sz w:val="24"/>
          <w:szCs w:val="24"/>
        </w:rPr>
        <w:t>authors</w:t>
      </w:r>
      <w:r>
        <w:rPr>
          <w:rFonts w:ascii="Times New Roman" w:hAnsi="Times New Roman"/>
          <w:sz w:val="24"/>
          <w:szCs w:val="24"/>
        </w:rPr>
        <w:t xml:space="preserve"> listed</w:t>
      </w:r>
      <w:r w:rsidRPr="00AC72BF">
        <w:rPr>
          <w:rFonts w:ascii="Times New Roman" w:hAnsi="Times New Roman"/>
          <w:sz w:val="24"/>
          <w:szCs w:val="24"/>
        </w:rPr>
        <w:t xml:space="preserve">) and a symposium proceedings (20+ </w:t>
      </w:r>
      <w:r>
        <w:rPr>
          <w:rFonts w:ascii="Times New Roman" w:hAnsi="Times New Roman"/>
          <w:sz w:val="24"/>
          <w:szCs w:val="24"/>
        </w:rPr>
        <w:t>co-</w:t>
      </w:r>
      <w:r w:rsidRPr="00AC72BF">
        <w:rPr>
          <w:rFonts w:ascii="Times New Roman" w:hAnsi="Times New Roman"/>
          <w:sz w:val="24"/>
          <w:szCs w:val="24"/>
        </w:rPr>
        <w:t>authors), with one CUNI staff in each, and in the middle of author list.</w:t>
      </w:r>
    </w:p>
    <w:p w14:paraId="76495876" w14:textId="77777777" w:rsidR="00132ED7" w:rsidRDefault="00132ED7" w:rsidP="00132ED7">
      <w:pPr>
        <w:rPr>
          <w:rFonts w:ascii="Times New Roman" w:hAnsi="Times New Roman"/>
          <w:sz w:val="24"/>
          <w:szCs w:val="24"/>
        </w:rPr>
      </w:pPr>
      <w:r w:rsidRPr="00AC72BF">
        <w:rPr>
          <w:rFonts w:ascii="Times New Roman" w:hAnsi="Times New Roman"/>
          <w:sz w:val="24"/>
          <w:szCs w:val="24"/>
        </w:rPr>
        <w:t>Otherwise in Q1, there were 10 and 8, first and last authors respectively.  Overall, CUNI had 12 (out of 22) first authors, 5 second and 9 last (D1 and Q1 combined). The most productive faculty was 1.LF.</w:t>
      </w:r>
    </w:p>
    <w:p w14:paraId="76D39562"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Research Grants</w:t>
      </w:r>
    </w:p>
    <w:p w14:paraId="2E16CDCF" w14:textId="77777777" w:rsidR="00132ED7" w:rsidRPr="00640B81" w:rsidRDefault="00132ED7" w:rsidP="00132ED7">
      <w:pPr>
        <w:rPr>
          <w:rFonts w:ascii="Times New Roman" w:hAnsi="Times New Roman"/>
          <w:sz w:val="24"/>
          <w:szCs w:val="24"/>
        </w:rPr>
      </w:pPr>
      <w:r>
        <w:rPr>
          <w:rFonts w:ascii="Times New Roman" w:hAnsi="Times New Roman"/>
          <w:sz w:val="24"/>
          <w:szCs w:val="24"/>
        </w:rPr>
        <w:lastRenderedPageBreak/>
        <w:t>With respect to grant funding, the field of Sugery received 10 national grants for the years 2014-2018, but no interntional funding (source: provided CUNI spreadsheet).  The funding source was Czech Science Foundation for one and Ministry of Health for the other nine.  The 1.LF had 3 grants, totatalling 195 thousand EUR paid during 2014-2018, 3.LF had 5 grants, with a total of 162 thousand EUR, and LFP 2 grants, totalling 97 thousand EUR.  Overall, I think this would be considered a rather moderate amount of grant money.  There was no data listed for the 2.LF and LFHK in Surgery.</w:t>
      </w:r>
    </w:p>
    <w:p w14:paraId="3BE245C2" w14:textId="77777777" w:rsidR="00132ED7" w:rsidRPr="00640B81" w:rsidRDefault="00132ED7" w:rsidP="00132ED7">
      <w:pPr>
        <w:rPr>
          <w:rFonts w:ascii="Times New Roman" w:hAnsi="Times New Roman"/>
          <w:i/>
          <w:iCs/>
          <w:sz w:val="24"/>
          <w:szCs w:val="24"/>
        </w:rPr>
      </w:pPr>
      <w:r w:rsidRPr="00640B81">
        <w:rPr>
          <w:rFonts w:ascii="Times New Roman" w:hAnsi="Times New Roman"/>
          <w:i/>
          <w:iCs/>
          <w:sz w:val="24"/>
          <w:szCs w:val="24"/>
        </w:rPr>
        <w:t>International Ranking</w:t>
      </w:r>
    </w:p>
    <w:p w14:paraId="729AE8DB" w14:textId="77777777" w:rsidR="00132ED7" w:rsidRPr="00AC72BF" w:rsidRDefault="00132ED7" w:rsidP="00132ED7">
      <w:pPr>
        <w:rPr>
          <w:rFonts w:ascii="Times New Roman" w:hAnsi="Times New Roman"/>
          <w:b/>
          <w:bCs/>
          <w:sz w:val="24"/>
          <w:szCs w:val="24"/>
        </w:rPr>
      </w:pPr>
      <w:r w:rsidRPr="00AC72BF">
        <w:rPr>
          <w:rFonts w:ascii="Times New Roman" w:hAnsi="Times New Roman"/>
          <w:sz w:val="24"/>
          <w:szCs w:val="24"/>
        </w:rPr>
        <w:t>With respect to international benchmarks, the field of surgery is unfortunately near the bottom.  Overall for total outputs, at 1.1 paper per author, CUNI ranks 6</w:t>
      </w:r>
      <w:r w:rsidRPr="00AC72BF">
        <w:rPr>
          <w:rFonts w:ascii="Times New Roman" w:hAnsi="Times New Roman"/>
          <w:sz w:val="24"/>
          <w:szCs w:val="24"/>
          <w:vertAlign w:val="superscript"/>
        </w:rPr>
        <w:t>th</w:t>
      </w:r>
      <w:r w:rsidRPr="00AC72BF">
        <w:rPr>
          <w:rFonts w:ascii="Times New Roman" w:hAnsi="Times New Roman"/>
          <w:sz w:val="24"/>
          <w:szCs w:val="24"/>
        </w:rPr>
        <w:t xml:space="preserve"> out of 7 benchmark universities in Europe.  For the top 50% output, CUNI is tied with Warsaw in the last place. (source WoS bibliometric data). </w:t>
      </w:r>
    </w:p>
    <w:p w14:paraId="3BE42167" w14:textId="77777777" w:rsidR="00132ED7" w:rsidRPr="00640B81" w:rsidRDefault="00132ED7" w:rsidP="00132ED7">
      <w:pPr>
        <w:rPr>
          <w:rFonts w:ascii="Times New Roman" w:hAnsi="Times New Roman"/>
          <w:i/>
          <w:iCs/>
          <w:sz w:val="24"/>
          <w:szCs w:val="24"/>
          <w:lang w:val="en-US"/>
        </w:rPr>
      </w:pPr>
      <w:r w:rsidRPr="00640B81">
        <w:rPr>
          <w:rFonts w:ascii="Times New Roman" w:hAnsi="Times New Roman"/>
          <w:i/>
          <w:iCs/>
          <w:sz w:val="24"/>
          <w:szCs w:val="24"/>
          <w:lang w:val="en-US"/>
        </w:rPr>
        <w:t>Summary</w:t>
      </w:r>
    </w:p>
    <w:p w14:paraId="39E25265" w14:textId="77777777" w:rsidR="00132ED7" w:rsidRPr="00AC72BF" w:rsidRDefault="00132ED7" w:rsidP="00132ED7">
      <w:pPr>
        <w:rPr>
          <w:rFonts w:ascii="Times New Roman" w:hAnsi="Times New Roman"/>
          <w:b/>
          <w:bCs/>
          <w:sz w:val="24"/>
          <w:szCs w:val="24"/>
          <w:lang w:val="en-US"/>
        </w:rPr>
      </w:pPr>
      <w:r w:rsidRPr="00AC72BF">
        <w:rPr>
          <w:rFonts w:ascii="Times New Roman" w:hAnsi="Times New Roman"/>
          <w:sz w:val="24"/>
          <w:szCs w:val="24"/>
          <w:lang w:val="en-US"/>
        </w:rPr>
        <w:t xml:space="preserve">In summary, the outputs in the sub-field of Surgery are </w:t>
      </w:r>
      <w:r>
        <w:rPr>
          <w:rFonts w:ascii="Times New Roman" w:hAnsi="Times New Roman"/>
          <w:sz w:val="24"/>
          <w:szCs w:val="24"/>
          <w:lang w:val="en-US"/>
        </w:rPr>
        <w:t xml:space="preserve">on the </w:t>
      </w:r>
      <w:r w:rsidRPr="00AC72BF">
        <w:rPr>
          <w:rFonts w:ascii="Times New Roman" w:hAnsi="Times New Roman"/>
          <w:sz w:val="24"/>
          <w:szCs w:val="24"/>
          <w:lang w:val="en-US"/>
        </w:rPr>
        <w:t>low</w:t>
      </w:r>
      <w:r>
        <w:rPr>
          <w:rFonts w:ascii="Times New Roman" w:hAnsi="Times New Roman"/>
          <w:sz w:val="24"/>
          <w:szCs w:val="24"/>
          <w:lang w:val="en-US"/>
        </w:rPr>
        <w:t xml:space="preserve"> side</w:t>
      </w:r>
      <w:r w:rsidRPr="00AC72BF">
        <w:rPr>
          <w:rFonts w:ascii="Times New Roman" w:hAnsi="Times New Roman"/>
          <w:sz w:val="24"/>
          <w:szCs w:val="24"/>
          <w:lang w:val="en-US"/>
        </w:rPr>
        <w:t xml:space="preserve">, which creates an inherent inability to evaluate this area in depth.  However, some broad trends and conclusions may be drawn. The 1.LF appears to be most productive faculty and the sub-specialty of General Surgery is the most actively published area. The very low level of D1 publications with respect to the other fields in medicine, may be due to insufficient staff that is too busy with clinical activities to pursue publications and/or there may not be defined research associates with protected research time. </w:t>
      </w:r>
      <w:r>
        <w:rPr>
          <w:rFonts w:ascii="Times New Roman" w:hAnsi="Times New Roman"/>
          <w:sz w:val="24"/>
          <w:szCs w:val="24"/>
          <w:lang w:val="en-US"/>
        </w:rPr>
        <w:t xml:space="preserve">From my Canadian experience, this is usually due to the burden of having to earn a clinical income from seeing patients and carrying out surgeries, which leaves little time for research.  Sufficient “protected” research time is key in producing quality research and mandatory for lab bench science (at least 50-70% protected time is recommended for designated personnel to yield significant outputs).  This of course means that the funding formula of clinician-researches has to be reviewed and a new model needs to include “hard” money for the research activities.  </w:t>
      </w:r>
      <w:r w:rsidRPr="00AC72BF">
        <w:rPr>
          <w:rFonts w:ascii="Times New Roman" w:hAnsi="Times New Roman"/>
          <w:sz w:val="24"/>
          <w:szCs w:val="24"/>
          <w:lang w:val="en-US"/>
        </w:rPr>
        <w:t>Given these findings, evaluation of this particular field would benefit with on-site visit</w:t>
      </w:r>
      <w:r>
        <w:rPr>
          <w:rFonts w:ascii="Times New Roman" w:hAnsi="Times New Roman"/>
          <w:sz w:val="24"/>
          <w:szCs w:val="24"/>
          <w:lang w:val="en-US"/>
        </w:rPr>
        <w:t>s</w:t>
      </w:r>
      <w:r w:rsidRPr="00AC72BF">
        <w:rPr>
          <w:rFonts w:ascii="Times New Roman" w:hAnsi="Times New Roman"/>
          <w:sz w:val="24"/>
          <w:szCs w:val="24"/>
          <w:lang w:val="en-US"/>
        </w:rPr>
        <w:t xml:space="preserve"> and discussions with the deans.</w:t>
      </w:r>
    </w:p>
    <w:p w14:paraId="3A7FCEB3" w14:textId="77777777" w:rsidR="00132ED7" w:rsidRPr="00AC72BF" w:rsidRDefault="00132ED7" w:rsidP="00132ED7">
      <w:pPr>
        <w:rPr>
          <w:rFonts w:ascii="Times New Roman" w:hAnsi="Times New Roman"/>
          <w:sz w:val="24"/>
          <w:szCs w:val="24"/>
        </w:rPr>
      </w:pPr>
    </w:p>
    <w:p w14:paraId="542972FB" w14:textId="77777777" w:rsidR="00132ED7" w:rsidRPr="00AC72BF" w:rsidRDefault="00132ED7" w:rsidP="00132ED7">
      <w:pPr>
        <w:rPr>
          <w:rFonts w:ascii="Times New Roman" w:hAnsi="Times New Roman"/>
          <w:sz w:val="24"/>
          <w:szCs w:val="24"/>
        </w:rPr>
      </w:pPr>
      <w:r>
        <w:rPr>
          <w:rFonts w:ascii="Times New Roman" w:hAnsi="Times New Roman"/>
          <w:sz w:val="24"/>
          <w:szCs w:val="24"/>
        </w:rPr>
        <w:t xml:space="preserve">TABLE </w:t>
      </w:r>
      <w:r w:rsidRPr="00AC72BF">
        <w:rPr>
          <w:rFonts w:ascii="Times New Roman" w:hAnsi="Times New Roman"/>
          <w:sz w:val="24"/>
          <w:szCs w:val="24"/>
        </w:rPr>
        <w:t>SUMMARY: 22 D1+Q1 papers out of total of 186</w:t>
      </w:r>
    </w:p>
    <w:p w14:paraId="3D47D9F7" w14:textId="77777777" w:rsidR="006D5183" w:rsidRPr="00AC72BF" w:rsidRDefault="006D5183" w:rsidP="003672BA">
      <w:pPr>
        <w:ind w:right="93"/>
        <w:rPr>
          <w:rFonts w:ascii="Times New Roman" w:hAnsi="Times New Roman"/>
          <w:sz w:val="24"/>
          <w:szCs w:val="24"/>
        </w:rPr>
      </w:pPr>
      <w:r w:rsidRPr="00AC72BF">
        <w:rPr>
          <w:rFonts w:ascii="Times New Roman" w:hAnsi="Times New Roman"/>
          <w:noProof/>
          <w:sz w:val="24"/>
          <w:szCs w:val="24"/>
          <w:lang w:eastAsia="cs-CZ"/>
        </w:rPr>
        <w:lastRenderedPageBreak/>
        <w:drawing>
          <wp:inline distT="0" distB="0" distL="0" distR="0" wp14:anchorId="73AC3133" wp14:editId="2FE85BC7">
            <wp:extent cx="3423920" cy="3688762"/>
            <wp:effectExtent l="0" t="0" r="508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SURGERY.png"/>
                    <pic:cNvPicPr/>
                  </pic:nvPicPr>
                  <pic:blipFill>
                    <a:blip r:embed="rId34">
                      <a:extLst>
                        <a:ext uri="{28A0092B-C50C-407E-A947-70E740481C1C}">
                          <a14:useLocalDpi xmlns:a14="http://schemas.microsoft.com/office/drawing/2010/main" val="0"/>
                        </a:ext>
                      </a:extLst>
                    </a:blip>
                    <a:stretch>
                      <a:fillRect/>
                    </a:stretch>
                  </pic:blipFill>
                  <pic:spPr>
                    <a:xfrm>
                      <a:off x="0" y="0"/>
                      <a:ext cx="3433064" cy="3698613"/>
                    </a:xfrm>
                    <a:prstGeom prst="rect">
                      <a:avLst/>
                    </a:prstGeom>
                  </pic:spPr>
                </pic:pic>
              </a:graphicData>
            </a:graphic>
          </wp:inline>
        </w:drawing>
      </w:r>
    </w:p>
    <w:p w14:paraId="0881B93E" w14:textId="77777777" w:rsidR="006D5183" w:rsidRPr="00AC72BF" w:rsidRDefault="006D5183" w:rsidP="003672BA">
      <w:pPr>
        <w:ind w:right="93"/>
        <w:rPr>
          <w:rFonts w:ascii="Times New Roman" w:hAnsi="Times New Roman"/>
          <w:b/>
          <w:bCs/>
          <w:sz w:val="24"/>
          <w:szCs w:val="24"/>
        </w:rPr>
      </w:pPr>
    </w:p>
    <w:p w14:paraId="34E17FDA" w14:textId="77777777" w:rsidR="0070080E" w:rsidRPr="00AC72BF" w:rsidRDefault="0070080E" w:rsidP="003672BA">
      <w:pPr>
        <w:pStyle w:val="Odstavecseseznamem"/>
        <w:spacing w:line="360" w:lineRule="auto"/>
        <w:ind w:left="360" w:right="93" w:hanging="76"/>
        <w:jc w:val="both"/>
        <w:rPr>
          <w:rFonts w:ascii="Times New Roman" w:hAnsi="Times New Roman"/>
          <w:bCs/>
          <w:sz w:val="24"/>
          <w:szCs w:val="24"/>
          <w:lang w:val="en-GB"/>
        </w:rPr>
      </w:pPr>
    </w:p>
    <w:tbl>
      <w:tblPr>
        <w:tblW w:w="14300" w:type="dxa"/>
        <w:tblInd w:w="93" w:type="dxa"/>
        <w:tblLook w:val="04A0" w:firstRow="1" w:lastRow="0" w:firstColumn="1" w:lastColumn="0" w:noHBand="0" w:noVBand="1"/>
      </w:tblPr>
      <w:tblGrid>
        <w:gridCol w:w="2600"/>
        <w:gridCol w:w="1300"/>
        <w:gridCol w:w="1300"/>
        <w:gridCol w:w="1300"/>
        <w:gridCol w:w="1300"/>
        <w:gridCol w:w="1300"/>
        <w:gridCol w:w="1300"/>
        <w:gridCol w:w="1300"/>
        <w:gridCol w:w="1300"/>
        <w:gridCol w:w="1300"/>
      </w:tblGrid>
      <w:tr w:rsidR="0070080E" w:rsidRPr="00AC72BF" w14:paraId="15E620B0" w14:textId="77777777" w:rsidTr="0070080E">
        <w:trPr>
          <w:trHeight w:val="300"/>
        </w:trPr>
        <w:tc>
          <w:tcPr>
            <w:tcW w:w="2600" w:type="dxa"/>
            <w:tcBorders>
              <w:top w:val="nil"/>
              <w:left w:val="nil"/>
              <w:bottom w:val="nil"/>
              <w:right w:val="nil"/>
            </w:tcBorders>
            <w:shd w:val="clear" w:color="auto" w:fill="auto"/>
            <w:noWrap/>
            <w:vAlign w:val="bottom"/>
            <w:hideMark/>
          </w:tcPr>
          <w:p w14:paraId="49F2918E"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9C6D9BC"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9C09BD"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92E8F05"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A319A38"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BF6234C"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CB4E2FD"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274EF95"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B1801A4" w14:textId="77777777" w:rsidR="0070080E" w:rsidRPr="00AC72BF" w:rsidRDefault="0070080E" w:rsidP="003672BA">
            <w:pPr>
              <w:spacing w:after="0" w:line="240" w:lineRule="auto"/>
              <w:ind w:right="93"/>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303DA9B" w14:textId="77777777" w:rsidR="0070080E" w:rsidRPr="00AC72BF" w:rsidRDefault="0070080E" w:rsidP="003672BA">
            <w:pPr>
              <w:spacing w:after="0" w:line="240" w:lineRule="auto"/>
              <w:ind w:right="93"/>
              <w:rPr>
                <w:rFonts w:ascii="Times New Roman" w:eastAsia="Times New Roman" w:hAnsi="Times New Roman"/>
                <w:color w:val="FF0000"/>
                <w:sz w:val="24"/>
                <w:szCs w:val="24"/>
                <w:lang w:val="en-GB"/>
              </w:rPr>
            </w:pPr>
          </w:p>
        </w:tc>
      </w:tr>
    </w:tbl>
    <w:p w14:paraId="3880B224" w14:textId="77777777" w:rsidR="0070080E" w:rsidRPr="00AC72BF" w:rsidRDefault="0070080E" w:rsidP="003672BA">
      <w:pPr>
        <w:pStyle w:val="Odstavecseseznamem"/>
        <w:spacing w:line="360" w:lineRule="auto"/>
        <w:ind w:left="360" w:right="93" w:hanging="76"/>
        <w:jc w:val="both"/>
        <w:rPr>
          <w:rFonts w:ascii="Times New Roman" w:hAnsi="Times New Roman"/>
          <w:bCs/>
          <w:sz w:val="24"/>
          <w:szCs w:val="24"/>
          <w:lang w:val="en-GB"/>
        </w:rPr>
      </w:pPr>
    </w:p>
    <w:p w14:paraId="3C3EDD61"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52BFA4F5"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1D28393A"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2B2820F7"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r w:rsidRPr="00AC72BF">
        <w:rPr>
          <w:rFonts w:ascii="Times New Roman" w:hAnsi="Times New Roman"/>
          <w:bCs/>
          <w:noProof/>
          <w:sz w:val="24"/>
          <w:szCs w:val="24"/>
          <w:lang w:eastAsia="cs-CZ"/>
        </w:rPr>
        <w:lastRenderedPageBreak/>
        <w:drawing>
          <wp:inline distT="0" distB="0" distL="0" distR="0" wp14:anchorId="43DBEAF9" wp14:editId="66D21F68">
            <wp:extent cx="6400800" cy="4114800"/>
            <wp:effectExtent l="0" t="0" r="0" b="0"/>
            <wp:docPr id="4" name="Picture 4" descr="beiliegend die unterschriebene:Dokumente:2020 Charles University:Statistics:Documents to work with:List with CZ Authors:wos_surger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iegend die unterschriebene:Dokumente:2020 Charles University:Statistics:Documents to work with:List with CZ Authors:wos_surgery.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5350E2F8" w14:textId="10D88CE7" w:rsidR="00A52583" w:rsidRDefault="00A52583" w:rsidP="00914708">
      <w:pPr>
        <w:spacing w:after="0" w:line="240" w:lineRule="auto"/>
        <w:rPr>
          <w:rFonts w:ascii="Helvetica" w:eastAsia="Times New Roman" w:hAnsi="Helvetica"/>
          <w:color w:val="FF0000"/>
          <w:sz w:val="24"/>
          <w:szCs w:val="24"/>
          <w:lang w:val="en-GB"/>
        </w:rPr>
      </w:pPr>
    </w:p>
    <w:p w14:paraId="5EA234BC" w14:textId="6BDD9258" w:rsidR="00726560" w:rsidRDefault="00726560" w:rsidP="00914708">
      <w:pPr>
        <w:spacing w:after="0" w:line="240" w:lineRule="auto"/>
        <w:rPr>
          <w:rFonts w:ascii="Helvetica" w:eastAsia="Times New Roman" w:hAnsi="Helvetica"/>
          <w:color w:val="FF0000"/>
          <w:sz w:val="24"/>
          <w:szCs w:val="24"/>
          <w:lang w:val="en-GB"/>
        </w:rPr>
      </w:pPr>
    </w:p>
    <w:p w14:paraId="2E441C0D" w14:textId="77777777" w:rsidR="00726560" w:rsidRPr="00A52583" w:rsidRDefault="00726560" w:rsidP="00914708">
      <w:pPr>
        <w:spacing w:after="0" w:line="240" w:lineRule="auto"/>
        <w:rPr>
          <w:rFonts w:ascii="Helvetica" w:eastAsia="Times New Roman" w:hAnsi="Helvetica"/>
          <w:color w:val="FF0000"/>
          <w:sz w:val="24"/>
          <w:szCs w:val="24"/>
          <w:lang w:val="en-GB"/>
        </w:rPr>
      </w:pPr>
    </w:p>
    <w:p w14:paraId="61202367" w14:textId="77777777" w:rsidR="00A52583" w:rsidRPr="00A52583" w:rsidRDefault="00A52583" w:rsidP="00A52583">
      <w:pPr>
        <w:spacing w:after="0" w:line="240" w:lineRule="auto"/>
        <w:rPr>
          <w:rFonts w:ascii="Times New Roman" w:eastAsia="Times New Roman" w:hAnsi="Times New Roman"/>
          <w:sz w:val="20"/>
          <w:szCs w:val="20"/>
          <w:lang w:val="en-GB"/>
        </w:rPr>
      </w:pPr>
    </w:p>
    <w:p w14:paraId="101E3032" w14:textId="77777777" w:rsidR="0070080E" w:rsidRPr="00AC72BF" w:rsidRDefault="0070080E" w:rsidP="003672BA">
      <w:pPr>
        <w:pStyle w:val="Odstavecseseznamem"/>
        <w:spacing w:after="0" w:line="360" w:lineRule="auto"/>
        <w:ind w:left="360" w:right="93"/>
        <w:jc w:val="both"/>
        <w:rPr>
          <w:rFonts w:ascii="Times New Roman" w:hAnsi="Times New Roman"/>
          <w:bCs/>
          <w:sz w:val="24"/>
          <w:szCs w:val="24"/>
          <w:lang w:val="en-GB"/>
        </w:rPr>
      </w:pPr>
    </w:p>
    <w:p w14:paraId="49968EB3" w14:textId="4C136F8C" w:rsidR="00491DDF" w:rsidRPr="00AC72BF" w:rsidRDefault="00491DDF" w:rsidP="003672BA">
      <w:pPr>
        <w:spacing w:after="0" w:line="360" w:lineRule="auto"/>
        <w:ind w:right="93"/>
        <w:jc w:val="both"/>
        <w:rPr>
          <w:rFonts w:ascii="Times New Roman" w:hAnsi="Times New Roman"/>
          <w:bCs/>
          <w:sz w:val="24"/>
          <w:szCs w:val="24"/>
          <w:lang w:val="en-GB"/>
        </w:rPr>
      </w:pPr>
    </w:p>
    <w:p w14:paraId="71D4D516" w14:textId="77777777" w:rsidR="008C2AA7" w:rsidRPr="00AC72BF" w:rsidRDefault="008C2AA7" w:rsidP="003672BA">
      <w:pPr>
        <w:pStyle w:val="Odstavecseseznamem"/>
        <w:spacing w:after="0" w:line="360" w:lineRule="auto"/>
        <w:ind w:left="360" w:right="93"/>
        <w:jc w:val="both"/>
        <w:rPr>
          <w:rFonts w:ascii="Times New Roman" w:hAnsi="Times New Roman"/>
          <w:bCs/>
          <w:sz w:val="24"/>
          <w:szCs w:val="24"/>
          <w:lang w:val="en-GB"/>
        </w:rPr>
      </w:pPr>
    </w:p>
    <w:p w14:paraId="00CC77AF" w14:textId="77777777" w:rsidR="00AC3513" w:rsidRDefault="00AC3513" w:rsidP="00AC3513">
      <w:pPr>
        <w:numPr>
          <w:ilvl w:val="0"/>
          <w:numId w:val="1"/>
        </w:numPr>
        <w:spacing w:after="0" w:line="360" w:lineRule="auto"/>
        <w:ind w:left="357" w:hanging="357"/>
        <w:jc w:val="both"/>
        <w:rPr>
          <w:rFonts w:ascii="Times New Roman" w:hAnsi="Times New Roman"/>
          <w:b/>
          <w:bCs/>
          <w:sz w:val="32"/>
          <w:szCs w:val="32"/>
          <w:lang w:val="en-GB"/>
        </w:rPr>
      </w:pPr>
      <w:r w:rsidRPr="002D5FC7">
        <w:rPr>
          <w:rFonts w:ascii="Times New Roman" w:hAnsi="Times New Roman"/>
          <w:b/>
          <w:bCs/>
          <w:sz w:val="32"/>
          <w:szCs w:val="32"/>
          <w:lang w:val="en-GB"/>
        </w:rPr>
        <w:lastRenderedPageBreak/>
        <w:t>Contribution of individual CU units to the field/area development</w:t>
      </w:r>
    </w:p>
    <w:p w14:paraId="2F924892" w14:textId="77777777" w:rsidR="002D5FC7" w:rsidRPr="002D5FC7" w:rsidRDefault="002D5FC7" w:rsidP="002D5FC7">
      <w:pPr>
        <w:spacing w:after="0" w:line="360" w:lineRule="auto"/>
        <w:ind w:left="357"/>
        <w:jc w:val="both"/>
        <w:rPr>
          <w:rFonts w:ascii="Times New Roman" w:hAnsi="Times New Roman"/>
          <w:b/>
          <w:bCs/>
          <w:sz w:val="32"/>
          <w:szCs w:val="32"/>
          <w:lang w:val="en-GB"/>
        </w:rPr>
      </w:pPr>
    </w:p>
    <w:p w14:paraId="3F181B3D" w14:textId="3A74A96D" w:rsidR="00AC3513" w:rsidRPr="00526BD4" w:rsidRDefault="00AC3513" w:rsidP="00AC3513">
      <w:pPr>
        <w:spacing w:after="0" w:line="360" w:lineRule="auto"/>
        <w:jc w:val="both"/>
        <w:rPr>
          <w:rFonts w:ascii="Times New Roman" w:hAnsi="Times New Roman"/>
          <w:b/>
          <w:bCs/>
          <w:sz w:val="24"/>
          <w:szCs w:val="24"/>
          <w:lang w:val="en-GB"/>
        </w:rPr>
      </w:pPr>
      <w:r w:rsidRPr="00526BD4">
        <w:rPr>
          <w:rFonts w:ascii="Times New Roman" w:hAnsi="Times New Roman"/>
          <w:b/>
          <w:bCs/>
          <w:sz w:val="24"/>
          <w:szCs w:val="24"/>
          <w:lang w:val="en-GB"/>
        </w:rPr>
        <w:t>To analyse the output of te 4 main fields, from the 5 medical faculties</w:t>
      </w:r>
      <w:r>
        <w:rPr>
          <w:rFonts w:ascii="Times New Roman" w:hAnsi="Times New Roman"/>
          <w:b/>
          <w:bCs/>
          <w:sz w:val="24"/>
          <w:szCs w:val="24"/>
          <w:lang w:val="en-GB"/>
        </w:rPr>
        <w:t xml:space="preserve"> and a faculty of pharmacy</w:t>
      </w:r>
      <w:r w:rsidRPr="00526BD4">
        <w:rPr>
          <w:rFonts w:ascii="Times New Roman" w:hAnsi="Times New Roman"/>
          <w:b/>
          <w:bCs/>
          <w:sz w:val="24"/>
          <w:szCs w:val="24"/>
          <w:lang w:val="en-GB"/>
        </w:rPr>
        <w:t xml:space="preserve"> as defined by CUNI the panel used the same Quantity/Quality index – papers / author / above 50% AIS vs papers / Author / below 50% AIS. The data </w:t>
      </w:r>
      <w:r>
        <w:rPr>
          <w:rFonts w:ascii="Times New Roman" w:hAnsi="Times New Roman"/>
          <w:b/>
          <w:bCs/>
          <w:sz w:val="24"/>
          <w:szCs w:val="24"/>
          <w:lang w:val="en-GB"/>
        </w:rPr>
        <w:t>have been extrapolated from FORD and CUNI Bibliometric support according the assignement to the field or area by the authors.</w:t>
      </w:r>
      <w:r w:rsidR="003E5F2E">
        <w:rPr>
          <w:rFonts w:ascii="Times New Roman" w:hAnsi="Times New Roman"/>
          <w:b/>
          <w:bCs/>
          <w:sz w:val="24"/>
          <w:szCs w:val="24"/>
          <w:lang w:val="en-GB"/>
        </w:rPr>
        <w:t xml:space="preserve"> As Pharmacy and Toxicology (P&amp;T) is defined only by CUNI, while FORD include P&amp;T within the</w:t>
      </w:r>
      <w:r w:rsidR="00556700">
        <w:rPr>
          <w:rFonts w:ascii="Times New Roman" w:hAnsi="Times New Roman"/>
          <w:b/>
          <w:bCs/>
          <w:sz w:val="24"/>
          <w:szCs w:val="24"/>
          <w:lang w:val="en-GB"/>
        </w:rPr>
        <w:t xml:space="preserve"> 4 main fields, it was decided to present both</w:t>
      </w:r>
      <w:r w:rsidR="003E5F2E">
        <w:rPr>
          <w:rFonts w:ascii="Times New Roman" w:hAnsi="Times New Roman"/>
          <w:b/>
          <w:bCs/>
          <w:sz w:val="24"/>
          <w:szCs w:val="24"/>
          <w:lang w:val="en-GB"/>
        </w:rPr>
        <w:t xml:space="preserve"> FORD   and CUNI</w:t>
      </w:r>
      <w:r w:rsidR="00556700">
        <w:rPr>
          <w:rFonts w:ascii="Times New Roman" w:hAnsi="Times New Roman"/>
          <w:b/>
          <w:bCs/>
          <w:sz w:val="24"/>
          <w:szCs w:val="24"/>
          <w:lang w:val="en-GB"/>
        </w:rPr>
        <w:t>.</w:t>
      </w:r>
    </w:p>
    <w:p w14:paraId="1AD9C283" w14:textId="77777777" w:rsidR="00AC3513" w:rsidRPr="00AC72BF" w:rsidRDefault="00AC3513" w:rsidP="00AC3513">
      <w:pPr>
        <w:spacing w:after="0" w:line="360" w:lineRule="auto"/>
        <w:jc w:val="both"/>
        <w:rPr>
          <w:rFonts w:ascii="Times New Roman" w:hAnsi="Times New Roman"/>
          <w:b/>
          <w:bCs/>
          <w:sz w:val="24"/>
          <w:szCs w:val="24"/>
          <w:lang w:val="en-GB"/>
        </w:rPr>
      </w:pPr>
    </w:p>
    <w:tbl>
      <w:tblPr>
        <w:tblW w:w="14300" w:type="dxa"/>
        <w:tblInd w:w="93" w:type="dxa"/>
        <w:tblLook w:val="04A0" w:firstRow="1" w:lastRow="0" w:firstColumn="1" w:lastColumn="0" w:noHBand="0" w:noVBand="1"/>
      </w:tblPr>
      <w:tblGrid>
        <w:gridCol w:w="1657"/>
        <w:gridCol w:w="943"/>
        <w:gridCol w:w="1300"/>
        <w:gridCol w:w="1300"/>
        <w:gridCol w:w="1300"/>
        <w:gridCol w:w="1300"/>
        <w:gridCol w:w="1300"/>
        <w:gridCol w:w="1300"/>
        <w:gridCol w:w="1300"/>
        <w:gridCol w:w="1300"/>
        <w:gridCol w:w="1300"/>
      </w:tblGrid>
      <w:tr w:rsidR="00AC3513" w:rsidRPr="00AC72BF" w14:paraId="1CE12DE0" w14:textId="77777777" w:rsidTr="00265DE9">
        <w:trPr>
          <w:trHeight w:val="300"/>
        </w:trPr>
        <w:tc>
          <w:tcPr>
            <w:tcW w:w="2600" w:type="dxa"/>
            <w:gridSpan w:val="2"/>
            <w:tcBorders>
              <w:top w:val="nil"/>
              <w:left w:val="nil"/>
              <w:bottom w:val="nil"/>
              <w:right w:val="nil"/>
            </w:tcBorders>
            <w:shd w:val="clear" w:color="auto" w:fill="auto"/>
            <w:noWrap/>
            <w:vAlign w:val="bottom"/>
            <w:hideMark/>
          </w:tcPr>
          <w:p w14:paraId="2F07E83E" w14:textId="77777777" w:rsidR="00AC3513" w:rsidRPr="00AC72BF" w:rsidRDefault="00AC3513" w:rsidP="00265DE9">
            <w:pPr>
              <w:spacing w:after="0" w:line="240" w:lineRule="auto"/>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Basic medicine</w:t>
            </w:r>
            <w:r>
              <w:rPr>
                <w:rFonts w:ascii="Times New Roman" w:eastAsia="Times New Roman" w:hAnsi="Times New Roman"/>
                <w:b/>
                <w:color w:val="000000"/>
                <w:sz w:val="24"/>
                <w:szCs w:val="24"/>
                <w:lang w:val="en-GB"/>
              </w:rPr>
              <w:t xml:space="preserve"> FORD</w:t>
            </w:r>
          </w:p>
        </w:tc>
        <w:tc>
          <w:tcPr>
            <w:tcW w:w="1300" w:type="dxa"/>
            <w:tcBorders>
              <w:top w:val="nil"/>
              <w:left w:val="nil"/>
              <w:bottom w:val="nil"/>
              <w:right w:val="nil"/>
            </w:tcBorders>
            <w:shd w:val="clear" w:color="auto" w:fill="auto"/>
            <w:noWrap/>
            <w:vAlign w:val="bottom"/>
            <w:hideMark/>
          </w:tcPr>
          <w:p w14:paraId="5D656565"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5EFA97D"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645D31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FBEDE8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86CF44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E544CE"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48D5EF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E80F23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3D7E7B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r>
      <w:tr w:rsidR="00AC3513" w:rsidRPr="00AC72BF" w14:paraId="16B2A4FA" w14:textId="77777777" w:rsidTr="00265DE9">
        <w:trPr>
          <w:trHeight w:val="300"/>
        </w:trPr>
        <w:tc>
          <w:tcPr>
            <w:tcW w:w="1657" w:type="dxa"/>
            <w:tcBorders>
              <w:top w:val="nil"/>
              <w:left w:val="nil"/>
              <w:bottom w:val="nil"/>
              <w:right w:val="nil"/>
            </w:tcBorders>
            <w:shd w:val="clear" w:color="auto" w:fill="auto"/>
            <w:noWrap/>
            <w:vAlign w:val="bottom"/>
            <w:hideMark/>
          </w:tcPr>
          <w:p w14:paraId="05A9AE6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Unit</w:t>
            </w:r>
          </w:p>
        </w:tc>
        <w:tc>
          <w:tcPr>
            <w:tcW w:w="943" w:type="dxa"/>
            <w:tcBorders>
              <w:top w:val="nil"/>
              <w:left w:val="nil"/>
              <w:bottom w:val="nil"/>
              <w:right w:val="nil"/>
            </w:tcBorders>
            <w:shd w:val="clear" w:color="auto" w:fill="auto"/>
            <w:noWrap/>
            <w:vAlign w:val="bottom"/>
            <w:hideMark/>
          </w:tcPr>
          <w:p w14:paraId="5994C949"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HC</w:t>
            </w:r>
          </w:p>
        </w:tc>
        <w:tc>
          <w:tcPr>
            <w:tcW w:w="1300" w:type="dxa"/>
            <w:tcBorders>
              <w:top w:val="nil"/>
              <w:left w:val="nil"/>
              <w:bottom w:val="nil"/>
              <w:right w:val="nil"/>
            </w:tcBorders>
            <w:shd w:val="clear" w:color="auto" w:fill="auto"/>
            <w:noWrap/>
            <w:vAlign w:val="bottom"/>
            <w:hideMark/>
          </w:tcPr>
          <w:p w14:paraId="3BFAD8E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Share Major</w:t>
            </w:r>
          </w:p>
        </w:tc>
        <w:tc>
          <w:tcPr>
            <w:tcW w:w="1300" w:type="dxa"/>
            <w:tcBorders>
              <w:top w:val="nil"/>
              <w:left w:val="nil"/>
              <w:bottom w:val="nil"/>
              <w:right w:val="nil"/>
            </w:tcBorders>
            <w:shd w:val="clear" w:color="auto" w:fill="auto"/>
            <w:noWrap/>
            <w:vAlign w:val="bottom"/>
            <w:hideMark/>
          </w:tcPr>
          <w:p w14:paraId="215EDDA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4F6AD039"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FC2F22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04D074A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C18AE4B"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69E35BD8"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2475D3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16CECD9C" w14:textId="77777777" w:rsidR="00AC3513" w:rsidRPr="00416F7E" w:rsidRDefault="00AC3513" w:rsidP="00265DE9">
            <w:pPr>
              <w:spacing w:after="0" w:line="240" w:lineRule="auto"/>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Total P/A</w:t>
            </w:r>
          </w:p>
        </w:tc>
      </w:tr>
      <w:tr w:rsidR="00AC3513" w:rsidRPr="00AC72BF" w14:paraId="185C3C0D" w14:textId="77777777" w:rsidTr="00265DE9">
        <w:trPr>
          <w:trHeight w:val="300"/>
        </w:trPr>
        <w:tc>
          <w:tcPr>
            <w:tcW w:w="1657" w:type="dxa"/>
            <w:tcBorders>
              <w:top w:val="nil"/>
              <w:left w:val="nil"/>
              <w:bottom w:val="nil"/>
              <w:right w:val="nil"/>
            </w:tcBorders>
            <w:shd w:val="clear" w:color="auto" w:fill="auto"/>
            <w:noWrap/>
            <w:vAlign w:val="bottom"/>
            <w:hideMark/>
          </w:tcPr>
          <w:p w14:paraId="5E6FD35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 LF</w:t>
            </w:r>
          </w:p>
        </w:tc>
        <w:tc>
          <w:tcPr>
            <w:tcW w:w="943" w:type="dxa"/>
            <w:tcBorders>
              <w:top w:val="nil"/>
              <w:left w:val="nil"/>
              <w:bottom w:val="nil"/>
              <w:right w:val="nil"/>
            </w:tcBorders>
            <w:shd w:val="clear" w:color="auto" w:fill="auto"/>
            <w:noWrap/>
            <w:vAlign w:val="bottom"/>
            <w:hideMark/>
          </w:tcPr>
          <w:p w14:paraId="030BF6F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543</w:t>
            </w:r>
          </w:p>
        </w:tc>
        <w:tc>
          <w:tcPr>
            <w:tcW w:w="1300" w:type="dxa"/>
            <w:tcBorders>
              <w:top w:val="nil"/>
              <w:left w:val="nil"/>
              <w:bottom w:val="nil"/>
              <w:right w:val="nil"/>
            </w:tcBorders>
            <w:shd w:val="clear" w:color="auto" w:fill="auto"/>
            <w:noWrap/>
            <w:vAlign w:val="bottom"/>
            <w:hideMark/>
          </w:tcPr>
          <w:p w14:paraId="7D0D4DD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54.1%</w:t>
            </w:r>
          </w:p>
        </w:tc>
        <w:tc>
          <w:tcPr>
            <w:tcW w:w="1300" w:type="dxa"/>
            <w:tcBorders>
              <w:top w:val="nil"/>
              <w:left w:val="nil"/>
              <w:bottom w:val="nil"/>
              <w:right w:val="nil"/>
            </w:tcBorders>
            <w:shd w:val="clear" w:color="auto" w:fill="auto"/>
            <w:noWrap/>
            <w:vAlign w:val="bottom"/>
            <w:hideMark/>
          </w:tcPr>
          <w:p w14:paraId="026F5C1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39</w:t>
            </w:r>
            <w:r>
              <w:rPr>
                <w:rFonts w:ascii="Times New Roman" w:eastAsia="Times New Roman" w:hAnsi="Times New Roman"/>
                <w:color w:val="000000"/>
                <w:sz w:val="24"/>
                <w:szCs w:val="24"/>
                <w:lang w:val="en-GB"/>
              </w:rPr>
              <w:t>5</w:t>
            </w:r>
          </w:p>
        </w:tc>
        <w:tc>
          <w:tcPr>
            <w:tcW w:w="1300" w:type="dxa"/>
            <w:tcBorders>
              <w:top w:val="nil"/>
              <w:left w:val="nil"/>
              <w:bottom w:val="nil"/>
              <w:right w:val="nil"/>
            </w:tcBorders>
            <w:shd w:val="clear" w:color="auto" w:fill="auto"/>
            <w:noWrap/>
            <w:vAlign w:val="bottom"/>
            <w:hideMark/>
          </w:tcPr>
          <w:p w14:paraId="052BBC7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0.73</w:t>
            </w:r>
          </w:p>
        </w:tc>
        <w:tc>
          <w:tcPr>
            <w:tcW w:w="1300" w:type="dxa"/>
            <w:tcBorders>
              <w:top w:val="nil"/>
              <w:left w:val="nil"/>
              <w:bottom w:val="nil"/>
              <w:right w:val="nil"/>
            </w:tcBorders>
            <w:shd w:val="clear" w:color="auto" w:fill="auto"/>
            <w:noWrap/>
            <w:vAlign w:val="bottom"/>
            <w:hideMark/>
          </w:tcPr>
          <w:p w14:paraId="79E8DA5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522</w:t>
            </w:r>
          </w:p>
        </w:tc>
        <w:tc>
          <w:tcPr>
            <w:tcW w:w="1300" w:type="dxa"/>
            <w:tcBorders>
              <w:top w:val="nil"/>
              <w:left w:val="nil"/>
              <w:bottom w:val="nil"/>
              <w:right w:val="nil"/>
            </w:tcBorders>
            <w:shd w:val="clear" w:color="auto" w:fill="auto"/>
            <w:noWrap/>
            <w:vAlign w:val="bottom"/>
            <w:hideMark/>
          </w:tcPr>
          <w:p w14:paraId="750E5C7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0.96</w:t>
            </w:r>
          </w:p>
        </w:tc>
        <w:tc>
          <w:tcPr>
            <w:tcW w:w="1300" w:type="dxa"/>
            <w:tcBorders>
              <w:top w:val="nil"/>
              <w:left w:val="nil"/>
              <w:bottom w:val="nil"/>
              <w:right w:val="nil"/>
            </w:tcBorders>
            <w:shd w:val="clear" w:color="auto" w:fill="auto"/>
            <w:noWrap/>
            <w:vAlign w:val="bottom"/>
            <w:hideMark/>
          </w:tcPr>
          <w:p w14:paraId="42FF57B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47</w:t>
            </w:r>
          </w:p>
        </w:tc>
        <w:tc>
          <w:tcPr>
            <w:tcW w:w="1300" w:type="dxa"/>
            <w:tcBorders>
              <w:top w:val="nil"/>
              <w:left w:val="nil"/>
              <w:bottom w:val="nil"/>
              <w:right w:val="nil"/>
            </w:tcBorders>
            <w:shd w:val="clear" w:color="auto" w:fill="auto"/>
            <w:noWrap/>
            <w:vAlign w:val="bottom"/>
            <w:hideMark/>
          </w:tcPr>
          <w:p w14:paraId="58D4F0C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7C24FDD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917</w:t>
            </w:r>
          </w:p>
        </w:tc>
        <w:tc>
          <w:tcPr>
            <w:tcW w:w="1300" w:type="dxa"/>
            <w:tcBorders>
              <w:top w:val="nil"/>
              <w:left w:val="nil"/>
              <w:bottom w:val="nil"/>
              <w:right w:val="nil"/>
            </w:tcBorders>
            <w:shd w:val="clear" w:color="auto" w:fill="auto"/>
            <w:noWrap/>
            <w:vAlign w:val="bottom"/>
            <w:hideMark/>
          </w:tcPr>
          <w:p w14:paraId="322A35BC"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1.69</w:t>
            </w:r>
          </w:p>
        </w:tc>
      </w:tr>
      <w:tr w:rsidR="00AC3513" w:rsidRPr="00AC72BF" w14:paraId="22D3F0F6" w14:textId="77777777" w:rsidTr="00265DE9">
        <w:trPr>
          <w:trHeight w:val="300"/>
        </w:trPr>
        <w:tc>
          <w:tcPr>
            <w:tcW w:w="1657" w:type="dxa"/>
            <w:tcBorders>
              <w:top w:val="nil"/>
              <w:left w:val="nil"/>
              <w:bottom w:val="nil"/>
              <w:right w:val="nil"/>
            </w:tcBorders>
            <w:shd w:val="clear" w:color="auto" w:fill="auto"/>
            <w:noWrap/>
            <w:vAlign w:val="bottom"/>
            <w:hideMark/>
          </w:tcPr>
          <w:p w14:paraId="25786E8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 LF</w:t>
            </w:r>
          </w:p>
        </w:tc>
        <w:tc>
          <w:tcPr>
            <w:tcW w:w="943" w:type="dxa"/>
            <w:tcBorders>
              <w:top w:val="nil"/>
              <w:left w:val="nil"/>
              <w:bottom w:val="nil"/>
              <w:right w:val="nil"/>
            </w:tcBorders>
            <w:shd w:val="clear" w:color="auto" w:fill="auto"/>
            <w:noWrap/>
            <w:vAlign w:val="bottom"/>
            <w:hideMark/>
          </w:tcPr>
          <w:p w14:paraId="1835068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259</w:t>
            </w:r>
          </w:p>
        </w:tc>
        <w:tc>
          <w:tcPr>
            <w:tcW w:w="1300" w:type="dxa"/>
            <w:tcBorders>
              <w:top w:val="nil"/>
              <w:left w:val="nil"/>
              <w:bottom w:val="nil"/>
              <w:right w:val="nil"/>
            </w:tcBorders>
            <w:shd w:val="clear" w:color="auto" w:fill="auto"/>
            <w:noWrap/>
            <w:vAlign w:val="bottom"/>
            <w:hideMark/>
          </w:tcPr>
          <w:p w14:paraId="4548994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57.4%</w:t>
            </w:r>
          </w:p>
        </w:tc>
        <w:tc>
          <w:tcPr>
            <w:tcW w:w="1300" w:type="dxa"/>
            <w:tcBorders>
              <w:top w:val="nil"/>
              <w:left w:val="nil"/>
              <w:bottom w:val="nil"/>
              <w:right w:val="nil"/>
            </w:tcBorders>
            <w:shd w:val="clear" w:color="auto" w:fill="auto"/>
            <w:noWrap/>
            <w:vAlign w:val="bottom"/>
            <w:hideMark/>
          </w:tcPr>
          <w:p w14:paraId="0D2CF4A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221</w:t>
            </w:r>
          </w:p>
        </w:tc>
        <w:tc>
          <w:tcPr>
            <w:tcW w:w="1300" w:type="dxa"/>
            <w:tcBorders>
              <w:top w:val="nil"/>
              <w:left w:val="nil"/>
              <w:bottom w:val="nil"/>
              <w:right w:val="nil"/>
            </w:tcBorders>
            <w:shd w:val="clear" w:color="auto" w:fill="auto"/>
            <w:noWrap/>
            <w:vAlign w:val="bottom"/>
            <w:hideMark/>
          </w:tcPr>
          <w:p w14:paraId="10B2D64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0.85</w:t>
            </w:r>
          </w:p>
        </w:tc>
        <w:tc>
          <w:tcPr>
            <w:tcW w:w="1300" w:type="dxa"/>
            <w:tcBorders>
              <w:top w:val="nil"/>
              <w:left w:val="nil"/>
              <w:bottom w:val="nil"/>
              <w:right w:val="nil"/>
            </w:tcBorders>
            <w:shd w:val="clear" w:color="auto" w:fill="auto"/>
            <w:noWrap/>
            <w:vAlign w:val="bottom"/>
            <w:hideMark/>
          </w:tcPr>
          <w:p w14:paraId="37D253C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266</w:t>
            </w:r>
          </w:p>
        </w:tc>
        <w:tc>
          <w:tcPr>
            <w:tcW w:w="1300" w:type="dxa"/>
            <w:tcBorders>
              <w:top w:val="nil"/>
              <w:left w:val="nil"/>
              <w:bottom w:val="nil"/>
              <w:right w:val="nil"/>
            </w:tcBorders>
            <w:shd w:val="clear" w:color="auto" w:fill="auto"/>
            <w:noWrap/>
            <w:vAlign w:val="bottom"/>
            <w:hideMark/>
          </w:tcPr>
          <w:p w14:paraId="1AE5D7A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1.03</w:t>
            </w:r>
          </w:p>
        </w:tc>
        <w:tc>
          <w:tcPr>
            <w:tcW w:w="1300" w:type="dxa"/>
            <w:tcBorders>
              <w:top w:val="nil"/>
              <w:left w:val="nil"/>
              <w:bottom w:val="nil"/>
              <w:right w:val="nil"/>
            </w:tcBorders>
            <w:shd w:val="clear" w:color="auto" w:fill="auto"/>
            <w:noWrap/>
            <w:vAlign w:val="bottom"/>
            <w:hideMark/>
          </w:tcPr>
          <w:p w14:paraId="7E8F2F5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31</w:t>
            </w:r>
          </w:p>
        </w:tc>
        <w:tc>
          <w:tcPr>
            <w:tcW w:w="1300" w:type="dxa"/>
            <w:tcBorders>
              <w:top w:val="nil"/>
              <w:left w:val="nil"/>
              <w:bottom w:val="nil"/>
              <w:right w:val="nil"/>
            </w:tcBorders>
            <w:shd w:val="clear" w:color="auto" w:fill="auto"/>
            <w:noWrap/>
            <w:vAlign w:val="bottom"/>
            <w:hideMark/>
          </w:tcPr>
          <w:p w14:paraId="5618A26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0.12</w:t>
            </w:r>
          </w:p>
        </w:tc>
        <w:tc>
          <w:tcPr>
            <w:tcW w:w="1300" w:type="dxa"/>
            <w:tcBorders>
              <w:top w:val="nil"/>
              <w:left w:val="nil"/>
              <w:bottom w:val="nil"/>
              <w:right w:val="nil"/>
            </w:tcBorders>
            <w:shd w:val="clear" w:color="auto" w:fill="auto"/>
            <w:noWrap/>
            <w:vAlign w:val="bottom"/>
            <w:hideMark/>
          </w:tcPr>
          <w:p w14:paraId="0A1B3C7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487</w:t>
            </w:r>
          </w:p>
        </w:tc>
        <w:tc>
          <w:tcPr>
            <w:tcW w:w="1300" w:type="dxa"/>
            <w:tcBorders>
              <w:top w:val="nil"/>
              <w:left w:val="nil"/>
              <w:bottom w:val="nil"/>
              <w:right w:val="nil"/>
            </w:tcBorders>
            <w:shd w:val="clear" w:color="auto" w:fill="auto"/>
            <w:noWrap/>
            <w:vAlign w:val="bottom"/>
            <w:hideMark/>
          </w:tcPr>
          <w:p w14:paraId="51EA4132"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1.88</w:t>
            </w:r>
          </w:p>
        </w:tc>
      </w:tr>
      <w:tr w:rsidR="00AC3513" w:rsidRPr="00AC72BF" w14:paraId="2BBB4C49" w14:textId="77777777" w:rsidTr="00265DE9">
        <w:trPr>
          <w:trHeight w:val="300"/>
        </w:trPr>
        <w:tc>
          <w:tcPr>
            <w:tcW w:w="1657" w:type="dxa"/>
            <w:tcBorders>
              <w:top w:val="nil"/>
              <w:left w:val="nil"/>
              <w:bottom w:val="nil"/>
              <w:right w:val="nil"/>
            </w:tcBorders>
            <w:shd w:val="clear" w:color="auto" w:fill="auto"/>
            <w:noWrap/>
            <w:vAlign w:val="bottom"/>
            <w:hideMark/>
          </w:tcPr>
          <w:p w14:paraId="37CFC00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 LF</w:t>
            </w:r>
          </w:p>
        </w:tc>
        <w:tc>
          <w:tcPr>
            <w:tcW w:w="943" w:type="dxa"/>
            <w:tcBorders>
              <w:top w:val="nil"/>
              <w:left w:val="nil"/>
              <w:bottom w:val="nil"/>
              <w:right w:val="nil"/>
            </w:tcBorders>
            <w:shd w:val="clear" w:color="auto" w:fill="auto"/>
            <w:noWrap/>
            <w:vAlign w:val="bottom"/>
            <w:hideMark/>
          </w:tcPr>
          <w:p w14:paraId="3806519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211</w:t>
            </w:r>
          </w:p>
        </w:tc>
        <w:tc>
          <w:tcPr>
            <w:tcW w:w="1300" w:type="dxa"/>
            <w:tcBorders>
              <w:top w:val="nil"/>
              <w:left w:val="nil"/>
              <w:bottom w:val="nil"/>
              <w:right w:val="nil"/>
            </w:tcBorders>
            <w:shd w:val="clear" w:color="auto" w:fill="auto"/>
            <w:noWrap/>
            <w:vAlign w:val="bottom"/>
            <w:hideMark/>
          </w:tcPr>
          <w:p w14:paraId="6573E1A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57.8%</w:t>
            </w:r>
          </w:p>
        </w:tc>
        <w:tc>
          <w:tcPr>
            <w:tcW w:w="1300" w:type="dxa"/>
            <w:tcBorders>
              <w:top w:val="nil"/>
              <w:left w:val="nil"/>
              <w:bottom w:val="nil"/>
              <w:right w:val="nil"/>
            </w:tcBorders>
            <w:shd w:val="clear" w:color="auto" w:fill="auto"/>
            <w:noWrap/>
            <w:vAlign w:val="bottom"/>
            <w:hideMark/>
          </w:tcPr>
          <w:p w14:paraId="29A54D9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117</w:t>
            </w:r>
          </w:p>
        </w:tc>
        <w:tc>
          <w:tcPr>
            <w:tcW w:w="1300" w:type="dxa"/>
            <w:tcBorders>
              <w:top w:val="nil"/>
              <w:left w:val="nil"/>
              <w:bottom w:val="nil"/>
              <w:right w:val="nil"/>
            </w:tcBorders>
            <w:shd w:val="clear" w:color="auto" w:fill="auto"/>
            <w:noWrap/>
            <w:vAlign w:val="bottom"/>
            <w:hideMark/>
          </w:tcPr>
          <w:p w14:paraId="459E65F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0.55</w:t>
            </w:r>
          </w:p>
        </w:tc>
        <w:tc>
          <w:tcPr>
            <w:tcW w:w="1300" w:type="dxa"/>
            <w:tcBorders>
              <w:top w:val="nil"/>
              <w:left w:val="nil"/>
              <w:bottom w:val="nil"/>
              <w:right w:val="nil"/>
            </w:tcBorders>
            <w:shd w:val="clear" w:color="auto" w:fill="auto"/>
            <w:noWrap/>
            <w:vAlign w:val="bottom"/>
            <w:hideMark/>
          </w:tcPr>
          <w:p w14:paraId="68BB3D0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240</w:t>
            </w:r>
          </w:p>
        </w:tc>
        <w:tc>
          <w:tcPr>
            <w:tcW w:w="1300" w:type="dxa"/>
            <w:tcBorders>
              <w:top w:val="nil"/>
              <w:left w:val="nil"/>
              <w:bottom w:val="nil"/>
              <w:right w:val="nil"/>
            </w:tcBorders>
            <w:shd w:val="clear" w:color="auto" w:fill="auto"/>
            <w:noWrap/>
            <w:vAlign w:val="bottom"/>
            <w:hideMark/>
          </w:tcPr>
          <w:p w14:paraId="72201BA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1.14</w:t>
            </w:r>
          </w:p>
        </w:tc>
        <w:tc>
          <w:tcPr>
            <w:tcW w:w="1300" w:type="dxa"/>
            <w:tcBorders>
              <w:top w:val="nil"/>
              <w:left w:val="nil"/>
              <w:bottom w:val="nil"/>
              <w:right w:val="nil"/>
            </w:tcBorders>
            <w:shd w:val="clear" w:color="auto" w:fill="auto"/>
            <w:noWrap/>
            <w:vAlign w:val="bottom"/>
            <w:hideMark/>
          </w:tcPr>
          <w:p w14:paraId="54D138F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w:t>
            </w:r>
          </w:p>
        </w:tc>
        <w:tc>
          <w:tcPr>
            <w:tcW w:w="1300" w:type="dxa"/>
            <w:tcBorders>
              <w:top w:val="nil"/>
              <w:left w:val="nil"/>
              <w:bottom w:val="nil"/>
              <w:right w:val="nil"/>
            </w:tcBorders>
            <w:shd w:val="clear" w:color="auto" w:fill="auto"/>
            <w:noWrap/>
            <w:vAlign w:val="bottom"/>
            <w:hideMark/>
          </w:tcPr>
          <w:p w14:paraId="79836C9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0.07</w:t>
            </w:r>
          </w:p>
        </w:tc>
        <w:tc>
          <w:tcPr>
            <w:tcW w:w="1300" w:type="dxa"/>
            <w:tcBorders>
              <w:top w:val="nil"/>
              <w:left w:val="nil"/>
              <w:bottom w:val="nil"/>
              <w:right w:val="nil"/>
            </w:tcBorders>
            <w:shd w:val="clear" w:color="auto" w:fill="auto"/>
            <w:noWrap/>
            <w:vAlign w:val="bottom"/>
            <w:hideMark/>
          </w:tcPr>
          <w:p w14:paraId="41E8D4C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357</w:t>
            </w:r>
          </w:p>
        </w:tc>
        <w:tc>
          <w:tcPr>
            <w:tcW w:w="1300" w:type="dxa"/>
            <w:tcBorders>
              <w:top w:val="nil"/>
              <w:left w:val="nil"/>
              <w:bottom w:val="nil"/>
              <w:right w:val="nil"/>
            </w:tcBorders>
            <w:shd w:val="clear" w:color="auto" w:fill="auto"/>
            <w:noWrap/>
            <w:vAlign w:val="bottom"/>
            <w:hideMark/>
          </w:tcPr>
          <w:p w14:paraId="1C380242"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1.69</w:t>
            </w:r>
          </w:p>
        </w:tc>
      </w:tr>
      <w:tr w:rsidR="00AC3513" w:rsidRPr="00AC72BF" w14:paraId="6667F274" w14:textId="77777777" w:rsidTr="00265DE9">
        <w:trPr>
          <w:trHeight w:val="300"/>
        </w:trPr>
        <w:tc>
          <w:tcPr>
            <w:tcW w:w="1657" w:type="dxa"/>
            <w:tcBorders>
              <w:top w:val="nil"/>
              <w:left w:val="nil"/>
              <w:bottom w:val="nil"/>
              <w:right w:val="nil"/>
            </w:tcBorders>
            <w:shd w:val="clear" w:color="auto" w:fill="auto"/>
            <w:noWrap/>
            <w:vAlign w:val="bottom"/>
            <w:hideMark/>
          </w:tcPr>
          <w:p w14:paraId="4B6A49B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FaF HK</w:t>
            </w:r>
          </w:p>
        </w:tc>
        <w:tc>
          <w:tcPr>
            <w:tcW w:w="943" w:type="dxa"/>
            <w:tcBorders>
              <w:top w:val="nil"/>
              <w:left w:val="nil"/>
              <w:bottom w:val="nil"/>
              <w:right w:val="nil"/>
            </w:tcBorders>
            <w:shd w:val="clear" w:color="auto" w:fill="auto"/>
            <w:noWrap/>
            <w:vAlign w:val="bottom"/>
            <w:hideMark/>
          </w:tcPr>
          <w:p w14:paraId="479B9A7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265</w:t>
            </w:r>
          </w:p>
        </w:tc>
        <w:tc>
          <w:tcPr>
            <w:tcW w:w="1300" w:type="dxa"/>
            <w:tcBorders>
              <w:top w:val="nil"/>
              <w:left w:val="nil"/>
              <w:bottom w:val="nil"/>
              <w:right w:val="nil"/>
            </w:tcBorders>
            <w:shd w:val="clear" w:color="auto" w:fill="auto"/>
            <w:noWrap/>
            <w:vAlign w:val="bottom"/>
            <w:hideMark/>
          </w:tcPr>
          <w:p w14:paraId="3782D4E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74.6%</w:t>
            </w:r>
          </w:p>
        </w:tc>
        <w:tc>
          <w:tcPr>
            <w:tcW w:w="1300" w:type="dxa"/>
            <w:tcBorders>
              <w:top w:val="nil"/>
              <w:left w:val="nil"/>
              <w:bottom w:val="nil"/>
              <w:right w:val="nil"/>
            </w:tcBorders>
            <w:shd w:val="clear" w:color="auto" w:fill="auto"/>
            <w:noWrap/>
            <w:vAlign w:val="bottom"/>
            <w:hideMark/>
          </w:tcPr>
          <w:p w14:paraId="312D6DF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181</w:t>
            </w:r>
          </w:p>
        </w:tc>
        <w:tc>
          <w:tcPr>
            <w:tcW w:w="1300" w:type="dxa"/>
            <w:tcBorders>
              <w:top w:val="nil"/>
              <w:left w:val="nil"/>
              <w:bottom w:val="nil"/>
              <w:right w:val="nil"/>
            </w:tcBorders>
            <w:shd w:val="clear" w:color="auto" w:fill="auto"/>
            <w:noWrap/>
            <w:vAlign w:val="bottom"/>
            <w:hideMark/>
          </w:tcPr>
          <w:p w14:paraId="36DF84D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0.68</w:t>
            </w:r>
          </w:p>
        </w:tc>
        <w:tc>
          <w:tcPr>
            <w:tcW w:w="1300" w:type="dxa"/>
            <w:tcBorders>
              <w:top w:val="nil"/>
              <w:left w:val="nil"/>
              <w:bottom w:val="nil"/>
              <w:right w:val="nil"/>
            </w:tcBorders>
            <w:shd w:val="clear" w:color="auto" w:fill="auto"/>
            <w:noWrap/>
            <w:vAlign w:val="bottom"/>
            <w:hideMark/>
          </w:tcPr>
          <w:p w14:paraId="37F871E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157</w:t>
            </w:r>
          </w:p>
        </w:tc>
        <w:tc>
          <w:tcPr>
            <w:tcW w:w="1300" w:type="dxa"/>
            <w:tcBorders>
              <w:top w:val="nil"/>
              <w:left w:val="nil"/>
              <w:bottom w:val="nil"/>
              <w:right w:val="nil"/>
            </w:tcBorders>
            <w:shd w:val="clear" w:color="auto" w:fill="auto"/>
            <w:noWrap/>
            <w:vAlign w:val="bottom"/>
            <w:hideMark/>
          </w:tcPr>
          <w:p w14:paraId="51370C3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0.59</w:t>
            </w:r>
          </w:p>
        </w:tc>
        <w:tc>
          <w:tcPr>
            <w:tcW w:w="1300" w:type="dxa"/>
            <w:tcBorders>
              <w:top w:val="nil"/>
              <w:left w:val="nil"/>
              <w:bottom w:val="nil"/>
              <w:right w:val="nil"/>
            </w:tcBorders>
            <w:shd w:val="clear" w:color="auto" w:fill="auto"/>
            <w:noWrap/>
            <w:vAlign w:val="bottom"/>
            <w:hideMark/>
          </w:tcPr>
          <w:p w14:paraId="47DCEE5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w:t>
            </w:r>
          </w:p>
        </w:tc>
        <w:tc>
          <w:tcPr>
            <w:tcW w:w="1300" w:type="dxa"/>
            <w:tcBorders>
              <w:top w:val="nil"/>
              <w:left w:val="nil"/>
              <w:bottom w:val="nil"/>
              <w:right w:val="nil"/>
            </w:tcBorders>
            <w:shd w:val="clear" w:color="auto" w:fill="auto"/>
            <w:noWrap/>
            <w:vAlign w:val="bottom"/>
            <w:hideMark/>
          </w:tcPr>
          <w:p w14:paraId="01AFDD8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0.05</w:t>
            </w:r>
          </w:p>
        </w:tc>
        <w:tc>
          <w:tcPr>
            <w:tcW w:w="1300" w:type="dxa"/>
            <w:tcBorders>
              <w:top w:val="nil"/>
              <w:left w:val="nil"/>
              <w:bottom w:val="nil"/>
              <w:right w:val="nil"/>
            </w:tcBorders>
            <w:shd w:val="clear" w:color="auto" w:fill="auto"/>
            <w:noWrap/>
            <w:vAlign w:val="bottom"/>
            <w:hideMark/>
          </w:tcPr>
          <w:p w14:paraId="52D1D1F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338</w:t>
            </w:r>
          </w:p>
        </w:tc>
        <w:tc>
          <w:tcPr>
            <w:tcW w:w="1300" w:type="dxa"/>
            <w:tcBorders>
              <w:top w:val="nil"/>
              <w:left w:val="nil"/>
              <w:bottom w:val="nil"/>
              <w:right w:val="nil"/>
            </w:tcBorders>
            <w:shd w:val="clear" w:color="auto" w:fill="auto"/>
            <w:noWrap/>
            <w:vAlign w:val="bottom"/>
            <w:hideMark/>
          </w:tcPr>
          <w:p w14:paraId="5671CA3A"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1.28</w:t>
            </w:r>
          </w:p>
        </w:tc>
      </w:tr>
      <w:tr w:rsidR="00AC3513" w:rsidRPr="00AC72BF" w14:paraId="19A13A6F" w14:textId="77777777" w:rsidTr="00265DE9">
        <w:trPr>
          <w:trHeight w:val="300"/>
        </w:trPr>
        <w:tc>
          <w:tcPr>
            <w:tcW w:w="1657" w:type="dxa"/>
            <w:tcBorders>
              <w:top w:val="nil"/>
              <w:left w:val="nil"/>
              <w:bottom w:val="nil"/>
              <w:right w:val="nil"/>
            </w:tcBorders>
            <w:shd w:val="clear" w:color="auto" w:fill="auto"/>
            <w:noWrap/>
            <w:vAlign w:val="bottom"/>
            <w:hideMark/>
          </w:tcPr>
          <w:p w14:paraId="3CCD2EB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LFHK</w:t>
            </w:r>
          </w:p>
        </w:tc>
        <w:tc>
          <w:tcPr>
            <w:tcW w:w="943" w:type="dxa"/>
            <w:tcBorders>
              <w:top w:val="nil"/>
              <w:left w:val="nil"/>
              <w:bottom w:val="nil"/>
              <w:right w:val="nil"/>
            </w:tcBorders>
            <w:shd w:val="clear" w:color="auto" w:fill="auto"/>
            <w:noWrap/>
            <w:vAlign w:val="bottom"/>
            <w:hideMark/>
          </w:tcPr>
          <w:p w14:paraId="268730B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224</w:t>
            </w:r>
          </w:p>
        </w:tc>
        <w:tc>
          <w:tcPr>
            <w:tcW w:w="1300" w:type="dxa"/>
            <w:tcBorders>
              <w:top w:val="nil"/>
              <w:left w:val="nil"/>
              <w:bottom w:val="nil"/>
              <w:right w:val="nil"/>
            </w:tcBorders>
            <w:shd w:val="clear" w:color="auto" w:fill="auto"/>
            <w:noWrap/>
            <w:vAlign w:val="bottom"/>
            <w:hideMark/>
          </w:tcPr>
          <w:p w14:paraId="2B65132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62.2%</w:t>
            </w:r>
          </w:p>
        </w:tc>
        <w:tc>
          <w:tcPr>
            <w:tcW w:w="1300" w:type="dxa"/>
            <w:tcBorders>
              <w:top w:val="nil"/>
              <w:left w:val="nil"/>
              <w:bottom w:val="nil"/>
              <w:right w:val="nil"/>
            </w:tcBorders>
            <w:shd w:val="clear" w:color="auto" w:fill="auto"/>
            <w:noWrap/>
            <w:vAlign w:val="bottom"/>
            <w:hideMark/>
          </w:tcPr>
          <w:p w14:paraId="5F9CB93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112</w:t>
            </w:r>
          </w:p>
        </w:tc>
        <w:tc>
          <w:tcPr>
            <w:tcW w:w="1300" w:type="dxa"/>
            <w:tcBorders>
              <w:top w:val="nil"/>
              <w:left w:val="nil"/>
              <w:bottom w:val="nil"/>
              <w:right w:val="nil"/>
            </w:tcBorders>
            <w:shd w:val="clear" w:color="auto" w:fill="auto"/>
            <w:noWrap/>
            <w:vAlign w:val="bottom"/>
            <w:hideMark/>
          </w:tcPr>
          <w:p w14:paraId="1A7ABBC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0.50</w:t>
            </w:r>
          </w:p>
        </w:tc>
        <w:tc>
          <w:tcPr>
            <w:tcW w:w="1300" w:type="dxa"/>
            <w:tcBorders>
              <w:top w:val="nil"/>
              <w:left w:val="nil"/>
              <w:bottom w:val="nil"/>
              <w:right w:val="nil"/>
            </w:tcBorders>
            <w:shd w:val="clear" w:color="auto" w:fill="auto"/>
            <w:noWrap/>
            <w:vAlign w:val="bottom"/>
            <w:hideMark/>
          </w:tcPr>
          <w:p w14:paraId="7183066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220</w:t>
            </w:r>
          </w:p>
        </w:tc>
        <w:tc>
          <w:tcPr>
            <w:tcW w:w="1300" w:type="dxa"/>
            <w:tcBorders>
              <w:top w:val="nil"/>
              <w:left w:val="nil"/>
              <w:bottom w:val="nil"/>
              <w:right w:val="nil"/>
            </w:tcBorders>
            <w:shd w:val="clear" w:color="auto" w:fill="auto"/>
            <w:noWrap/>
            <w:vAlign w:val="bottom"/>
            <w:hideMark/>
          </w:tcPr>
          <w:p w14:paraId="4A9A7FD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0.98</w:t>
            </w:r>
          </w:p>
        </w:tc>
        <w:tc>
          <w:tcPr>
            <w:tcW w:w="1300" w:type="dxa"/>
            <w:tcBorders>
              <w:top w:val="nil"/>
              <w:left w:val="nil"/>
              <w:bottom w:val="nil"/>
              <w:right w:val="nil"/>
            </w:tcBorders>
            <w:shd w:val="clear" w:color="auto" w:fill="auto"/>
            <w:noWrap/>
            <w:vAlign w:val="bottom"/>
            <w:hideMark/>
          </w:tcPr>
          <w:p w14:paraId="2426C82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w:t>
            </w:r>
          </w:p>
        </w:tc>
        <w:tc>
          <w:tcPr>
            <w:tcW w:w="1300" w:type="dxa"/>
            <w:tcBorders>
              <w:top w:val="nil"/>
              <w:left w:val="nil"/>
              <w:bottom w:val="nil"/>
              <w:right w:val="nil"/>
            </w:tcBorders>
            <w:shd w:val="clear" w:color="auto" w:fill="auto"/>
            <w:noWrap/>
            <w:vAlign w:val="bottom"/>
            <w:hideMark/>
          </w:tcPr>
          <w:p w14:paraId="7ED9355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0.04</w:t>
            </w:r>
          </w:p>
        </w:tc>
        <w:tc>
          <w:tcPr>
            <w:tcW w:w="1300" w:type="dxa"/>
            <w:tcBorders>
              <w:top w:val="nil"/>
              <w:left w:val="nil"/>
              <w:bottom w:val="nil"/>
              <w:right w:val="nil"/>
            </w:tcBorders>
            <w:shd w:val="clear" w:color="auto" w:fill="auto"/>
            <w:noWrap/>
            <w:vAlign w:val="bottom"/>
            <w:hideMark/>
          </w:tcPr>
          <w:p w14:paraId="6DE12FA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332</w:t>
            </w:r>
          </w:p>
        </w:tc>
        <w:tc>
          <w:tcPr>
            <w:tcW w:w="1300" w:type="dxa"/>
            <w:tcBorders>
              <w:top w:val="nil"/>
              <w:left w:val="nil"/>
              <w:bottom w:val="nil"/>
              <w:right w:val="nil"/>
            </w:tcBorders>
            <w:shd w:val="clear" w:color="auto" w:fill="auto"/>
            <w:noWrap/>
            <w:vAlign w:val="bottom"/>
            <w:hideMark/>
          </w:tcPr>
          <w:p w14:paraId="72ED6DFB"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1.48</w:t>
            </w:r>
          </w:p>
        </w:tc>
      </w:tr>
      <w:tr w:rsidR="00AC3513" w:rsidRPr="00AC72BF" w14:paraId="24F9EE11" w14:textId="77777777" w:rsidTr="00265DE9">
        <w:trPr>
          <w:trHeight w:val="300"/>
        </w:trPr>
        <w:tc>
          <w:tcPr>
            <w:tcW w:w="1657" w:type="dxa"/>
            <w:tcBorders>
              <w:top w:val="nil"/>
              <w:left w:val="nil"/>
              <w:bottom w:val="nil"/>
              <w:right w:val="nil"/>
            </w:tcBorders>
            <w:shd w:val="clear" w:color="auto" w:fill="auto"/>
            <w:noWrap/>
            <w:vAlign w:val="bottom"/>
            <w:hideMark/>
          </w:tcPr>
          <w:p w14:paraId="594B7EB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LFPl</w:t>
            </w:r>
          </w:p>
        </w:tc>
        <w:tc>
          <w:tcPr>
            <w:tcW w:w="943" w:type="dxa"/>
            <w:tcBorders>
              <w:top w:val="nil"/>
              <w:left w:val="nil"/>
              <w:bottom w:val="nil"/>
              <w:right w:val="nil"/>
            </w:tcBorders>
            <w:shd w:val="clear" w:color="auto" w:fill="auto"/>
            <w:noWrap/>
            <w:vAlign w:val="bottom"/>
            <w:hideMark/>
          </w:tcPr>
          <w:p w14:paraId="40498D9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185</w:t>
            </w:r>
          </w:p>
        </w:tc>
        <w:tc>
          <w:tcPr>
            <w:tcW w:w="1300" w:type="dxa"/>
            <w:tcBorders>
              <w:top w:val="nil"/>
              <w:left w:val="nil"/>
              <w:bottom w:val="nil"/>
              <w:right w:val="nil"/>
            </w:tcBorders>
            <w:shd w:val="clear" w:color="auto" w:fill="auto"/>
            <w:noWrap/>
            <w:vAlign w:val="bottom"/>
            <w:hideMark/>
          </w:tcPr>
          <w:p w14:paraId="60C8F85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60.5%</w:t>
            </w:r>
          </w:p>
        </w:tc>
        <w:tc>
          <w:tcPr>
            <w:tcW w:w="1300" w:type="dxa"/>
            <w:tcBorders>
              <w:top w:val="nil"/>
              <w:left w:val="nil"/>
              <w:bottom w:val="nil"/>
              <w:right w:val="nil"/>
            </w:tcBorders>
            <w:shd w:val="clear" w:color="auto" w:fill="auto"/>
            <w:noWrap/>
            <w:vAlign w:val="bottom"/>
            <w:hideMark/>
          </w:tcPr>
          <w:p w14:paraId="18ED48A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169</w:t>
            </w:r>
          </w:p>
        </w:tc>
        <w:tc>
          <w:tcPr>
            <w:tcW w:w="1300" w:type="dxa"/>
            <w:tcBorders>
              <w:top w:val="nil"/>
              <w:left w:val="nil"/>
              <w:bottom w:val="nil"/>
              <w:right w:val="nil"/>
            </w:tcBorders>
            <w:shd w:val="clear" w:color="auto" w:fill="auto"/>
            <w:noWrap/>
            <w:vAlign w:val="bottom"/>
            <w:hideMark/>
          </w:tcPr>
          <w:p w14:paraId="6208F6F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0.91</w:t>
            </w:r>
          </w:p>
        </w:tc>
        <w:tc>
          <w:tcPr>
            <w:tcW w:w="1300" w:type="dxa"/>
            <w:tcBorders>
              <w:top w:val="nil"/>
              <w:left w:val="nil"/>
              <w:bottom w:val="nil"/>
              <w:right w:val="nil"/>
            </w:tcBorders>
            <w:shd w:val="clear" w:color="auto" w:fill="auto"/>
            <w:noWrap/>
            <w:vAlign w:val="bottom"/>
            <w:hideMark/>
          </w:tcPr>
          <w:p w14:paraId="0CF7932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197</w:t>
            </w:r>
          </w:p>
        </w:tc>
        <w:tc>
          <w:tcPr>
            <w:tcW w:w="1300" w:type="dxa"/>
            <w:tcBorders>
              <w:top w:val="nil"/>
              <w:left w:val="nil"/>
              <w:bottom w:val="nil"/>
              <w:right w:val="nil"/>
            </w:tcBorders>
            <w:shd w:val="clear" w:color="auto" w:fill="auto"/>
            <w:noWrap/>
            <w:vAlign w:val="bottom"/>
            <w:hideMark/>
          </w:tcPr>
          <w:p w14:paraId="10D56A8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1.06</w:t>
            </w:r>
          </w:p>
        </w:tc>
        <w:tc>
          <w:tcPr>
            <w:tcW w:w="1300" w:type="dxa"/>
            <w:tcBorders>
              <w:top w:val="nil"/>
              <w:left w:val="nil"/>
              <w:bottom w:val="nil"/>
              <w:right w:val="nil"/>
            </w:tcBorders>
            <w:shd w:val="clear" w:color="auto" w:fill="auto"/>
            <w:noWrap/>
            <w:vAlign w:val="bottom"/>
            <w:hideMark/>
          </w:tcPr>
          <w:p w14:paraId="6664A6B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48</w:t>
            </w:r>
          </w:p>
        </w:tc>
        <w:tc>
          <w:tcPr>
            <w:tcW w:w="1300" w:type="dxa"/>
            <w:tcBorders>
              <w:top w:val="nil"/>
              <w:left w:val="nil"/>
              <w:bottom w:val="nil"/>
              <w:right w:val="nil"/>
            </w:tcBorders>
            <w:shd w:val="clear" w:color="auto" w:fill="auto"/>
            <w:noWrap/>
            <w:vAlign w:val="bottom"/>
            <w:hideMark/>
          </w:tcPr>
          <w:p w14:paraId="3E5BB27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0.26</w:t>
            </w:r>
          </w:p>
        </w:tc>
        <w:tc>
          <w:tcPr>
            <w:tcW w:w="1300" w:type="dxa"/>
            <w:tcBorders>
              <w:top w:val="nil"/>
              <w:left w:val="nil"/>
              <w:bottom w:val="nil"/>
              <w:right w:val="nil"/>
            </w:tcBorders>
            <w:shd w:val="clear" w:color="auto" w:fill="auto"/>
            <w:noWrap/>
            <w:vAlign w:val="bottom"/>
            <w:hideMark/>
          </w:tcPr>
          <w:p w14:paraId="5EDB253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366</w:t>
            </w:r>
          </w:p>
        </w:tc>
        <w:tc>
          <w:tcPr>
            <w:tcW w:w="1300" w:type="dxa"/>
            <w:tcBorders>
              <w:top w:val="nil"/>
              <w:left w:val="nil"/>
              <w:bottom w:val="nil"/>
              <w:right w:val="nil"/>
            </w:tcBorders>
            <w:shd w:val="clear" w:color="auto" w:fill="auto"/>
            <w:noWrap/>
            <w:vAlign w:val="bottom"/>
            <w:hideMark/>
          </w:tcPr>
          <w:p w14:paraId="1830D8CD"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1.98</w:t>
            </w:r>
          </w:p>
        </w:tc>
      </w:tr>
    </w:tbl>
    <w:p w14:paraId="232EC17E"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Times New Roman" w:hAnsi="Times New Roman"/>
          <w:b/>
          <w:bCs/>
          <w:noProof/>
          <w:sz w:val="24"/>
          <w:szCs w:val="24"/>
          <w:lang w:eastAsia="cs-CZ"/>
        </w:rPr>
        <w:lastRenderedPageBreak/>
        <w:drawing>
          <wp:inline distT="0" distB="0" distL="0" distR="0" wp14:anchorId="63E72AF8" wp14:editId="36684688">
            <wp:extent cx="6400800" cy="4114800"/>
            <wp:effectExtent l="0" t="0" r="0" b="0"/>
            <wp:docPr id="34" name="Picture 34" descr="beiliegend die unterschriebene:Dokumente:2020 Charles University:Statistics:Documents to work with:Individual reports:FORD comparson:ford_basic_medic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iliegend die unterschriebene:Dokumente:2020 Charles University:Statistics:Documents to work with:Individual reports:FORD comparson:ford_basic_medicine.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53C1C4E8" w14:textId="77777777" w:rsidR="00AC3513" w:rsidRDefault="00AC3513" w:rsidP="00AC3513">
      <w:pPr>
        <w:spacing w:after="0" w:line="360" w:lineRule="auto"/>
        <w:jc w:val="both"/>
        <w:rPr>
          <w:rFonts w:ascii="Times New Roman" w:hAnsi="Times New Roman"/>
          <w:b/>
          <w:bCs/>
          <w:sz w:val="24"/>
          <w:szCs w:val="24"/>
          <w:lang w:val="en-GB"/>
        </w:rPr>
      </w:pPr>
      <w:r w:rsidRPr="00AC72BF">
        <w:rPr>
          <w:rFonts w:ascii="Times New Roman" w:hAnsi="Times New Roman"/>
          <w:b/>
          <w:bCs/>
          <w:sz w:val="24"/>
          <w:szCs w:val="24"/>
          <w:lang w:val="en-GB"/>
        </w:rPr>
        <w:t>Taking into account the headcount of authors/researchers, the output on average is more or less equaly distributed with slightly higher output from 2.LF and LFP</w:t>
      </w:r>
      <w:r>
        <w:rPr>
          <w:rFonts w:ascii="Times New Roman" w:hAnsi="Times New Roman"/>
          <w:b/>
          <w:bCs/>
          <w:sz w:val="24"/>
          <w:szCs w:val="24"/>
          <w:lang w:val="en-GB"/>
        </w:rPr>
        <w:t xml:space="preserve">l </w:t>
      </w:r>
      <w:r w:rsidRPr="00AC72BF">
        <w:rPr>
          <w:rFonts w:ascii="Times New Roman" w:hAnsi="Times New Roman"/>
          <w:b/>
          <w:bCs/>
          <w:sz w:val="24"/>
          <w:szCs w:val="24"/>
          <w:lang w:val="en-GB"/>
        </w:rPr>
        <w:t xml:space="preserve">and </w:t>
      </w:r>
      <w:r>
        <w:rPr>
          <w:rFonts w:ascii="Times New Roman" w:hAnsi="Times New Roman"/>
          <w:b/>
          <w:bCs/>
          <w:sz w:val="24"/>
          <w:szCs w:val="24"/>
          <w:lang w:val="en-GB"/>
        </w:rPr>
        <w:t xml:space="preserve">slightly </w:t>
      </w:r>
      <w:r w:rsidRPr="00AC72BF">
        <w:rPr>
          <w:rFonts w:ascii="Times New Roman" w:hAnsi="Times New Roman"/>
          <w:b/>
          <w:bCs/>
          <w:sz w:val="24"/>
          <w:szCs w:val="24"/>
          <w:lang w:val="en-GB"/>
        </w:rPr>
        <w:t>lower from FaF HK, howeder the later with better proportion of  higher quality papers.</w:t>
      </w:r>
    </w:p>
    <w:p w14:paraId="4BABD2B8" w14:textId="77777777" w:rsidR="00AC3513" w:rsidRDefault="00AC3513" w:rsidP="00AC3513">
      <w:pPr>
        <w:spacing w:after="0" w:line="360" w:lineRule="auto"/>
        <w:jc w:val="both"/>
        <w:rPr>
          <w:rFonts w:ascii="Times New Roman" w:hAnsi="Times New Roman"/>
          <w:b/>
          <w:bCs/>
          <w:sz w:val="24"/>
          <w:szCs w:val="24"/>
          <w:lang w:val="en-GB"/>
        </w:rPr>
      </w:pPr>
    </w:p>
    <w:tbl>
      <w:tblPr>
        <w:tblW w:w="13000" w:type="dxa"/>
        <w:tblInd w:w="93" w:type="dxa"/>
        <w:tblLook w:val="04A0" w:firstRow="1" w:lastRow="0" w:firstColumn="1" w:lastColumn="0" w:noHBand="0" w:noVBand="1"/>
      </w:tblPr>
      <w:tblGrid>
        <w:gridCol w:w="1637"/>
        <w:gridCol w:w="931"/>
        <w:gridCol w:w="1332"/>
        <w:gridCol w:w="1300"/>
        <w:gridCol w:w="1300"/>
        <w:gridCol w:w="1300"/>
        <w:gridCol w:w="1300"/>
        <w:gridCol w:w="1300"/>
        <w:gridCol w:w="1300"/>
        <w:gridCol w:w="1300"/>
      </w:tblGrid>
      <w:tr w:rsidR="00AC3513" w:rsidRPr="00A03996" w14:paraId="50D25A18" w14:textId="77777777" w:rsidTr="00265DE9">
        <w:trPr>
          <w:trHeight w:val="300"/>
        </w:trPr>
        <w:tc>
          <w:tcPr>
            <w:tcW w:w="3900" w:type="dxa"/>
            <w:gridSpan w:val="3"/>
            <w:tcBorders>
              <w:top w:val="nil"/>
              <w:left w:val="nil"/>
              <w:bottom w:val="nil"/>
              <w:right w:val="nil"/>
            </w:tcBorders>
            <w:shd w:val="clear" w:color="auto" w:fill="auto"/>
            <w:noWrap/>
            <w:vAlign w:val="bottom"/>
            <w:hideMark/>
          </w:tcPr>
          <w:p w14:paraId="19BFBFE7"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Basic Medicine</w:t>
            </w:r>
          </w:p>
        </w:tc>
        <w:tc>
          <w:tcPr>
            <w:tcW w:w="1300" w:type="dxa"/>
            <w:tcBorders>
              <w:top w:val="nil"/>
              <w:left w:val="nil"/>
              <w:bottom w:val="nil"/>
              <w:right w:val="nil"/>
            </w:tcBorders>
            <w:shd w:val="clear" w:color="auto" w:fill="auto"/>
            <w:noWrap/>
            <w:vAlign w:val="bottom"/>
            <w:hideMark/>
          </w:tcPr>
          <w:p w14:paraId="6C31B956"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AA00FD4"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98C0DF5"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0056F5"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114BEA8"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3E32212"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B9F1415"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5B14056C" w14:textId="77777777" w:rsidTr="00265DE9">
        <w:trPr>
          <w:trHeight w:val="300"/>
        </w:trPr>
        <w:tc>
          <w:tcPr>
            <w:tcW w:w="1637" w:type="dxa"/>
            <w:tcBorders>
              <w:top w:val="nil"/>
              <w:left w:val="nil"/>
              <w:bottom w:val="nil"/>
              <w:right w:val="nil"/>
            </w:tcBorders>
            <w:shd w:val="clear" w:color="auto" w:fill="auto"/>
            <w:noWrap/>
            <w:vAlign w:val="bottom"/>
            <w:hideMark/>
          </w:tcPr>
          <w:p w14:paraId="30D73D49"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931" w:type="dxa"/>
            <w:tcBorders>
              <w:top w:val="nil"/>
              <w:left w:val="nil"/>
              <w:bottom w:val="nil"/>
              <w:right w:val="nil"/>
            </w:tcBorders>
            <w:shd w:val="clear" w:color="auto" w:fill="auto"/>
            <w:noWrap/>
            <w:vAlign w:val="bottom"/>
            <w:hideMark/>
          </w:tcPr>
          <w:p w14:paraId="4C56E8F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332" w:type="dxa"/>
            <w:tcBorders>
              <w:top w:val="nil"/>
              <w:left w:val="nil"/>
              <w:bottom w:val="nil"/>
              <w:right w:val="nil"/>
            </w:tcBorders>
            <w:shd w:val="clear" w:color="auto" w:fill="auto"/>
            <w:noWrap/>
            <w:vAlign w:val="bottom"/>
            <w:hideMark/>
          </w:tcPr>
          <w:p w14:paraId="3D335412"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752D0D4E"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C645036"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0F66109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9975D0D"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1ED9A0A7"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DF4F3D9"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593B82C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7A03A04B" w14:textId="77777777" w:rsidTr="00265DE9">
        <w:trPr>
          <w:trHeight w:val="300"/>
        </w:trPr>
        <w:tc>
          <w:tcPr>
            <w:tcW w:w="1637" w:type="dxa"/>
            <w:tcBorders>
              <w:top w:val="nil"/>
              <w:left w:val="nil"/>
              <w:bottom w:val="nil"/>
              <w:right w:val="nil"/>
            </w:tcBorders>
            <w:shd w:val="clear" w:color="auto" w:fill="auto"/>
            <w:noWrap/>
            <w:vAlign w:val="bottom"/>
            <w:hideMark/>
          </w:tcPr>
          <w:p w14:paraId="2A20DBE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931" w:type="dxa"/>
            <w:tcBorders>
              <w:top w:val="nil"/>
              <w:left w:val="nil"/>
              <w:bottom w:val="nil"/>
              <w:right w:val="nil"/>
            </w:tcBorders>
            <w:shd w:val="clear" w:color="auto" w:fill="auto"/>
            <w:noWrap/>
            <w:vAlign w:val="bottom"/>
            <w:hideMark/>
          </w:tcPr>
          <w:p w14:paraId="499FD97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199</w:t>
            </w:r>
          </w:p>
        </w:tc>
        <w:tc>
          <w:tcPr>
            <w:tcW w:w="1332" w:type="dxa"/>
            <w:tcBorders>
              <w:top w:val="nil"/>
              <w:left w:val="nil"/>
              <w:bottom w:val="nil"/>
              <w:right w:val="nil"/>
            </w:tcBorders>
            <w:shd w:val="clear" w:color="auto" w:fill="auto"/>
            <w:noWrap/>
            <w:vAlign w:val="bottom"/>
            <w:hideMark/>
          </w:tcPr>
          <w:p w14:paraId="1466BA2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388</w:t>
            </w:r>
          </w:p>
        </w:tc>
        <w:tc>
          <w:tcPr>
            <w:tcW w:w="1300" w:type="dxa"/>
            <w:tcBorders>
              <w:top w:val="nil"/>
              <w:left w:val="nil"/>
              <w:bottom w:val="nil"/>
              <w:right w:val="nil"/>
            </w:tcBorders>
            <w:shd w:val="clear" w:color="auto" w:fill="auto"/>
            <w:noWrap/>
            <w:vAlign w:val="bottom"/>
            <w:hideMark/>
          </w:tcPr>
          <w:p w14:paraId="4400DAD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1.95</w:t>
            </w:r>
          </w:p>
        </w:tc>
        <w:tc>
          <w:tcPr>
            <w:tcW w:w="1300" w:type="dxa"/>
            <w:tcBorders>
              <w:top w:val="nil"/>
              <w:left w:val="nil"/>
              <w:bottom w:val="nil"/>
              <w:right w:val="nil"/>
            </w:tcBorders>
            <w:shd w:val="clear" w:color="auto" w:fill="auto"/>
            <w:noWrap/>
            <w:vAlign w:val="bottom"/>
            <w:hideMark/>
          </w:tcPr>
          <w:p w14:paraId="6FD82E1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386</w:t>
            </w:r>
          </w:p>
        </w:tc>
        <w:tc>
          <w:tcPr>
            <w:tcW w:w="1300" w:type="dxa"/>
            <w:tcBorders>
              <w:top w:val="nil"/>
              <w:left w:val="nil"/>
              <w:bottom w:val="nil"/>
              <w:right w:val="nil"/>
            </w:tcBorders>
            <w:shd w:val="clear" w:color="auto" w:fill="auto"/>
            <w:noWrap/>
            <w:vAlign w:val="bottom"/>
            <w:hideMark/>
          </w:tcPr>
          <w:p w14:paraId="536C125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1.94</w:t>
            </w:r>
          </w:p>
        </w:tc>
        <w:tc>
          <w:tcPr>
            <w:tcW w:w="1300" w:type="dxa"/>
            <w:tcBorders>
              <w:top w:val="nil"/>
              <w:left w:val="nil"/>
              <w:bottom w:val="nil"/>
              <w:right w:val="nil"/>
            </w:tcBorders>
            <w:shd w:val="clear" w:color="auto" w:fill="auto"/>
            <w:noWrap/>
            <w:vAlign w:val="bottom"/>
            <w:hideMark/>
          </w:tcPr>
          <w:p w14:paraId="7408C7F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69</w:t>
            </w:r>
          </w:p>
        </w:tc>
        <w:tc>
          <w:tcPr>
            <w:tcW w:w="1300" w:type="dxa"/>
            <w:tcBorders>
              <w:top w:val="nil"/>
              <w:left w:val="nil"/>
              <w:bottom w:val="nil"/>
              <w:right w:val="nil"/>
            </w:tcBorders>
            <w:shd w:val="clear" w:color="auto" w:fill="auto"/>
            <w:noWrap/>
            <w:vAlign w:val="bottom"/>
            <w:hideMark/>
          </w:tcPr>
          <w:p w14:paraId="0FEBE3D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0.35</w:t>
            </w:r>
          </w:p>
        </w:tc>
        <w:tc>
          <w:tcPr>
            <w:tcW w:w="1300" w:type="dxa"/>
            <w:tcBorders>
              <w:top w:val="nil"/>
              <w:left w:val="nil"/>
              <w:bottom w:val="nil"/>
              <w:right w:val="nil"/>
            </w:tcBorders>
            <w:shd w:val="clear" w:color="auto" w:fill="auto"/>
            <w:noWrap/>
            <w:vAlign w:val="bottom"/>
            <w:hideMark/>
          </w:tcPr>
          <w:p w14:paraId="6791517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774</w:t>
            </w:r>
          </w:p>
        </w:tc>
        <w:tc>
          <w:tcPr>
            <w:tcW w:w="1300" w:type="dxa"/>
            <w:tcBorders>
              <w:top w:val="nil"/>
              <w:left w:val="nil"/>
              <w:bottom w:val="nil"/>
              <w:right w:val="nil"/>
            </w:tcBorders>
            <w:shd w:val="clear" w:color="auto" w:fill="auto"/>
            <w:noWrap/>
            <w:vAlign w:val="bottom"/>
            <w:hideMark/>
          </w:tcPr>
          <w:p w14:paraId="4CEEA38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3.90</w:t>
            </w:r>
          </w:p>
        </w:tc>
      </w:tr>
      <w:tr w:rsidR="00AC3513" w:rsidRPr="00A03996" w14:paraId="60806E44" w14:textId="77777777" w:rsidTr="00265DE9">
        <w:trPr>
          <w:trHeight w:val="300"/>
        </w:trPr>
        <w:tc>
          <w:tcPr>
            <w:tcW w:w="1637" w:type="dxa"/>
            <w:tcBorders>
              <w:top w:val="nil"/>
              <w:left w:val="nil"/>
              <w:bottom w:val="nil"/>
              <w:right w:val="nil"/>
            </w:tcBorders>
            <w:shd w:val="clear" w:color="auto" w:fill="auto"/>
            <w:noWrap/>
            <w:vAlign w:val="bottom"/>
            <w:hideMark/>
          </w:tcPr>
          <w:p w14:paraId="782956E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931" w:type="dxa"/>
            <w:tcBorders>
              <w:top w:val="nil"/>
              <w:left w:val="nil"/>
              <w:bottom w:val="nil"/>
              <w:right w:val="nil"/>
            </w:tcBorders>
            <w:shd w:val="clear" w:color="auto" w:fill="auto"/>
            <w:noWrap/>
            <w:vAlign w:val="bottom"/>
            <w:hideMark/>
          </w:tcPr>
          <w:p w14:paraId="64F8C1B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176</w:t>
            </w:r>
          </w:p>
        </w:tc>
        <w:tc>
          <w:tcPr>
            <w:tcW w:w="1332" w:type="dxa"/>
            <w:tcBorders>
              <w:top w:val="nil"/>
              <w:left w:val="nil"/>
              <w:bottom w:val="nil"/>
              <w:right w:val="nil"/>
            </w:tcBorders>
            <w:shd w:val="clear" w:color="auto" w:fill="auto"/>
            <w:noWrap/>
            <w:vAlign w:val="bottom"/>
            <w:hideMark/>
          </w:tcPr>
          <w:p w14:paraId="362BD6C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246</w:t>
            </w:r>
          </w:p>
        </w:tc>
        <w:tc>
          <w:tcPr>
            <w:tcW w:w="1300" w:type="dxa"/>
            <w:tcBorders>
              <w:top w:val="nil"/>
              <w:left w:val="nil"/>
              <w:bottom w:val="nil"/>
              <w:right w:val="nil"/>
            </w:tcBorders>
            <w:shd w:val="clear" w:color="auto" w:fill="auto"/>
            <w:noWrap/>
            <w:vAlign w:val="bottom"/>
            <w:hideMark/>
          </w:tcPr>
          <w:p w14:paraId="4ADA851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1.40</w:t>
            </w:r>
          </w:p>
        </w:tc>
        <w:tc>
          <w:tcPr>
            <w:tcW w:w="1300" w:type="dxa"/>
            <w:tcBorders>
              <w:top w:val="nil"/>
              <w:left w:val="nil"/>
              <w:bottom w:val="nil"/>
              <w:right w:val="nil"/>
            </w:tcBorders>
            <w:shd w:val="clear" w:color="auto" w:fill="auto"/>
            <w:noWrap/>
            <w:vAlign w:val="bottom"/>
            <w:hideMark/>
          </w:tcPr>
          <w:p w14:paraId="3C30176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234</w:t>
            </w:r>
          </w:p>
        </w:tc>
        <w:tc>
          <w:tcPr>
            <w:tcW w:w="1300" w:type="dxa"/>
            <w:tcBorders>
              <w:top w:val="nil"/>
              <w:left w:val="nil"/>
              <w:bottom w:val="nil"/>
              <w:right w:val="nil"/>
            </w:tcBorders>
            <w:shd w:val="clear" w:color="auto" w:fill="auto"/>
            <w:noWrap/>
            <w:vAlign w:val="bottom"/>
            <w:hideMark/>
          </w:tcPr>
          <w:p w14:paraId="1BFD7FD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1.33</w:t>
            </w:r>
          </w:p>
        </w:tc>
        <w:tc>
          <w:tcPr>
            <w:tcW w:w="1300" w:type="dxa"/>
            <w:tcBorders>
              <w:top w:val="nil"/>
              <w:left w:val="nil"/>
              <w:bottom w:val="nil"/>
              <w:right w:val="nil"/>
            </w:tcBorders>
            <w:shd w:val="clear" w:color="auto" w:fill="auto"/>
            <w:noWrap/>
            <w:vAlign w:val="bottom"/>
            <w:hideMark/>
          </w:tcPr>
          <w:p w14:paraId="671D22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w:t>
            </w:r>
          </w:p>
        </w:tc>
        <w:tc>
          <w:tcPr>
            <w:tcW w:w="1300" w:type="dxa"/>
            <w:tcBorders>
              <w:top w:val="nil"/>
              <w:left w:val="nil"/>
              <w:bottom w:val="nil"/>
              <w:right w:val="nil"/>
            </w:tcBorders>
            <w:shd w:val="clear" w:color="auto" w:fill="auto"/>
            <w:noWrap/>
            <w:vAlign w:val="bottom"/>
            <w:hideMark/>
          </w:tcPr>
          <w:p w14:paraId="63BDD36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0.35</w:t>
            </w:r>
          </w:p>
        </w:tc>
        <w:tc>
          <w:tcPr>
            <w:tcW w:w="1300" w:type="dxa"/>
            <w:tcBorders>
              <w:top w:val="nil"/>
              <w:left w:val="nil"/>
              <w:bottom w:val="nil"/>
              <w:right w:val="nil"/>
            </w:tcBorders>
            <w:shd w:val="clear" w:color="auto" w:fill="auto"/>
            <w:noWrap/>
            <w:vAlign w:val="bottom"/>
            <w:hideMark/>
          </w:tcPr>
          <w:p w14:paraId="0465397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480</w:t>
            </w:r>
          </w:p>
        </w:tc>
        <w:tc>
          <w:tcPr>
            <w:tcW w:w="1300" w:type="dxa"/>
            <w:tcBorders>
              <w:top w:val="nil"/>
              <w:left w:val="nil"/>
              <w:bottom w:val="nil"/>
              <w:right w:val="nil"/>
            </w:tcBorders>
            <w:shd w:val="clear" w:color="auto" w:fill="auto"/>
            <w:noWrap/>
            <w:vAlign w:val="bottom"/>
            <w:hideMark/>
          </w:tcPr>
          <w:p w14:paraId="3A5B6D6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2.73</w:t>
            </w:r>
          </w:p>
        </w:tc>
      </w:tr>
      <w:tr w:rsidR="00AC3513" w:rsidRPr="00A03996" w14:paraId="06DB95C3" w14:textId="77777777" w:rsidTr="00265DE9">
        <w:trPr>
          <w:trHeight w:val="300"/>
        </w:trPr>
        <w:tc>
          <w:tcPr>
            <w:tcW w:w="1637" w:type="dxa"/>
            <w:tcBorders>
              <w:top w:val="nil"/>
              <w:left w:val="nil"/>
              <w:bottom w:val="nil"/>
              <w:right w:val="nil"/>
            </w:tcBorders>
            <w:shd w:val="clear" w:color="auto" w:fill="auto"/>
            <w:noWrap/>
            <w:vAlign w:val="bottom"/>
            <w:hideMark/>
          </w:tcPr>
          <w:p w14:paraId="3A1317D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lastRenderedPageBreak/>
              <w:t>3.LF</w:t>
            </w:r>
          </w:p>
        </w:tc>
        <w:tc>
          <w:tcPr>
            <w:tcW w:w="931" w:type="dxa"/>
            <w:tcBorders>
              <w:top w:val="nil"/>
              <w:left w:val="nil"/>
              <w:bottom w:val="nil"/>
              <w:right w:val="nil"/>
            </w:tcBorders>
            <w:shd w:val="clear" w:color="auto" w:fill="auto"/>
            <w:noWrap/>
            <w:vAlign w:val="bottom"/>
            <w:hideMark/>
          </w:tcPr>
          <w:p w14:paraId="09869DF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97</w:t>
            </w:r>
          </w:p>
        </w:tc>
        <w:tc>
          <w:tcPr>
            <w:tcW w:w="1332" w:type="dxa"/>
            <w:tcBorders>
              <w:top w:val="nil"/>
              <w:left w:val="nil"/>
              <w:bottom w:val="nil"/>
              <w:right w:val="nil"/>
            </w:tcBorders>
            <w:shd w:val="clear" w:color="auto" w:fill="auto"/>
            <w:noWrap/>
            <w:vAlign w:val="bottom"/>
            <w:hideMark/>
          </w:tcPr>
          <w:p w14:paraId="0C663D0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93</w:t>
            </w:r>
          </w:p>
        </w:tc>
        <w:tc>
          <w:tcPr>
            <w:tcW w:w="1300" w:type="dxa"/>
            <w:tcBorders>
              <w:top w:val="nil"/>
              <w:left w:val="nil"/>
              <w:bottom w:val="nil"/>
              <w:right w:val="nil"/>
            </w:tcBorders>
            <w:shd w:val="clear" w:color="auto" w:fill="auto"/>
            <w:noWrap/>
            <w:vAlign w:val="bottom"/>
            <w:hideMark/>
          </w:tcPr>
          <w:p w14:paraId="493F456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0.96</w:t>
            </w:r>
          </w:p>
        </w:tc>
        <w:tc>
          <w:tcPr>
            <w:tcW w:w="1300" w:type="dxa"/>
            <w:tcBorders>
              <w:top w:val="nil"/>
              <w:left w:val="nil"/>
              <w:bottom w:val="nil"/>
              <w:right w:val="nil"/>
            </w:tcBorders>
            <w:shd w:val="clear" w:color="auto" w:fill="auto"/>
            <w:noWrap/>
            <w:vAlign w:val="bottom"/>
            <w:hideMark/>
          </w:tcPr>
          <w:p w14:paraId="1B5550F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182</w:t>
            </w:r>
          </w:p>
        </w:tc>
        <w:tc>
          <w:tcPr>
            <w:tcW w:w="1300" w:type="dxa"/>
            <w:tcBorders>
              <w:top w:val="nil"/>
              <w:left w:val="nil"/>
              <w:bottom w:val="nil"/>
              <w:right w:val="nil"/>
            </w:tcBorders>
            <w:shd w:val="clear" w:color="auto" w:fill="auto"/>
            <w:noWrap/>
            <w:vAlign w:val="bottom"/>
            <w:hideMark/>
          </w:tcPr>
          <w:p w14:paraId="330ED19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1.88</w:t>
            </w:r>
          </w:p>
        </w:tc>
        <w:tc>
          <w:tcPr>
            <w:tcW w:w="1300" w:type="dxa"/>
            <w:tcBorders>
              <w:top w:val="nil"/>
              <w:left w:val="nil"/>
              <w:bottom w:val="nil"/>
              <w:right w:val="nil"/>
            </w:tcBorders>
            <w:shd w:val="clear" w:color="auto" w:fill="auto"/>
            <w:noWrap/>
            <w:vAlign w:val="bottom"/>
            <w:hideMark/>
          </w:tcPr>
          <w:p w14:paraId="5A8B75D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w:t>
            </w:r>
          </w:p>
        </w:tc>
        <w:tc>
          <w:tcPr>
            <w:tcW w:w="1300" w:type="dxa"/>
            <w:tcBorders>
              <w:top w:val="nil"/>
              <w:left w:val="nil"/>
              <w:bottom w:val="nil"/>
              <w:right w:val="nil"/>
            </w:tcBorders>
            <w:shd w:val="clear" w:color="auto" w:fill="auto"/>
            <w:noWrap/>
            <w:vAlign w:val="bottom"/>
            <w:hideMark/>
          </w:tcPr>
          <w:p w14:paraId="333530E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0.11</w:t>
            </w:r>
          </w:p>
        </w:tc>
        <w:tc>
          <w:tcPr>
            <w:tcW w:w="1300" w:type="dxa"/>
            <w:tcBorders>
              <w:top w:val="nil"/>
              <w:left w:val="nil"/>
              <w:bottom w:val="nil"/>
              <w:right w:val="nil"/>
            </w:tcBorders>
            <w:shd w:val="clear" w:color="auto" w:fill="auto"/>
            <w:noWrap/>
            <w:vAlign w:val="bottom"/>
            <w:hideMark/>
          </w:tcPr>
          <w:p w14:paraId="1AA18EF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275</w:t>
            </w:r>
          </w:p>
        </w:tc>
        <w:tc>
          <w:tcPr>
            <w:tcW w:w="1300" w:type="dxa"/>
            <w:tcBorders>
              <w:top w:val="nil"/>
              <w:left w:val="nil"/>
              <w:bottom w:val="nil"/>
              <w:right w:val="nil"/>
            </w:tcBorders>
            <w:shd w:val="clear" w:color="auto" w:fill="auto"/>
            <w:noWrap/>
            <w:vAlign w:val="bottom"/>
            <w:hideMark/>
          </w:tcPr>
          <w:p w14:paraId="42F6886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2.84</w:t>
            </w:r>
          </w:p>
        </w:tc>
      </w:tr>
      <w:tr w:rsidR="00AC3513" w:rsidRPr="00A03996" w14:paraId="07D19332" w14:textId="77777777" w:rsidTr="00265DE9">
        <w:trPr>
          <w:trHeight w:val="300"/>
        </w:trPr>
        <w:tc>
          <w:tcPr>
            <w:tcW w:w="1637" w:type="dxa"/>
            <w:tcBorders>
              <w:top w:val="nil"/>
              <w:left w:val="nil"/>
              <w:bottom w:val="nil"/>
              <w:right w:val="nil"/>
            </w:tcBorders>
            <w:shd w:val="clear" w:color="auto" w:fill="auto"/>
            <w:noWrap/>
            <w:vAlign w:val="bottom"/>
            <w:hideMark/>
          </w:tcPr>
          <w:p w14:paraId="310D121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FaF HK</w:t>
            </w:r>
          </w:p>
        </w:tc>
        <w:tc>
          <w:tcPr>
            <w:tcW w:w="931" w:type="dxa"/>
            <w:tcBorders>
              <w:top w:val="nil"/>
              <w:left w:val="nil"/>
              <w:bottom w:val="nil"/>
              <w:right w:val="nil"/>
            </w:tcBorders>
            <w:shd w:val="clear" w:color="auto" w:fill="auto"/>
            <w:noWrap/>
            <w:vAlign w:val="bottom"/>
            <w:hideMark/>
          </w:tcPr>
          <w:p w14:paraId="5D7CA5D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32" w:type="dxa"/>
            <w:tcBorders>
              <w:top w:val="nil"/>
              <w:left w:val="nil"/>
              <w:bottom w:val="nil"/>
              <w:right w:val="nil"/>
            </w:tcBorders>
            <w:shd w:val="clear" w:color="auto" w:fill="auto"/>
            <w:noWrap/>
            <w:vAlign w:val="bottom"/>
            <w:hideMark/>
          </w:tcPr>
          <w:p w14:paraId="11F2477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00" w:type="dxa"/>
            <w:tcBorders>
              <w:top w:val="nil"/>
              <w:left w:val="nil"/>
              <w:bottom w:val="nil"/>
              <w:right w:val="nil"/>
            </w:tcBorders>
            <w:shd w:val="clear" w:color="auto" w:fill="auto"/>
            <w:noWrap/>
            <w:vAlign w:val="bottom"/>
            <w:hideMark/>
          </w:tcPr>
          <w:p w14:paraId="16ACD329"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F2D9C7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13D77F02"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D302F3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4C8F3EDF"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6BC33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w:t>
            </w:r>
          </w:p>
        </w:tc>
        <w:tc>
          <w:tcPr>
            <w:tcW w:w="1300" w:type="dxa"/>
            <w:tcBorders>
              <w:top w:val="nil"/>
              <w:left w:val="nil"/>
              <w:bottom w:val="nil"/>
              <w:right w:val="nil"/>
            </w:tcBorders>
            <w:shd w:val="clear" w:color="auto" w:fill="auto"/>
            <w:noWrap/>
            <w:vAlign w:val="bottom"/>
            <w:hideMark/>
          </w:tcPr>
          <w:p w14:paraId="772CAC0E" w14:textId="77777777" w:rsidR="00AC3513" w:rsidRPr="00A03996" w:rsidRDefault="00AC3513" w:rsidP="00265DE9">
            <w:pPr>
              <w:spacing w:after="0" w:line="240" w:lineRule="auto"/>
              <w:jc w:val="center"/>
              <w:rPr>
                <w:rFonts w:eastAsia="Times New Roman"/>
                <w:color w:val="000000"/>
                <w:sz w:val="24"/>
                <w:szCs w:val="24"/>
                <w:lang w:val="en-GB"/>
              </w:rPr>
            </w:pPr>
          </w:p>
        </w:tc>
      </w:tr>
      <w:tr w:rsidR="00AC3513" w:rsidRPr="00A03996" w14:paraId="6DA28324" w14:textId="77777777" w:rsidTr="00265DE9">
        <w:trPr>
          <w:trHeight w:val="300"/>
        </w:trPr>
        <w:tc>
          <w:tcPr>
            <w:tcW w:w="1637" w:type="dxa"/>
            <w:tcBorders>
              <w:top w:val="nil"/>
              <w:left w:val="nil"/>
              <w:bottom w:val="nil"/>
              <w:right w:val="nil"/>
            </w:tcBorders>
            <w:shd w:val="clear" w:color="auto" w:fill="auto"/>
            <w:noWrap/>
            <w:vAlign w:val="bottom"/>
            <w:hideMark/>
          </w:tcPr>
          <w:p w14:paraId="0E088D4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931" w:type="dxa"/>
            <w:tcBorders>
              <w:top w:val="nil"/>
              <w:left w:val="nil"/>
              <w:bottom w:val="nil"/>
              <w:right w:val="nil"/>
            </w:tcBorders>
            <w:shd w:val="clear" w:color="auto" w:fill="auto"/>
            <w:noWrap/>
            <w:vAlign w:val="bottom"/>
            <w:hideMark/>
          </w:tcPr>
          <w:p w14:paraId="791FB0E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60</w:t>
            </w:r>
          </w:p>
        </w:tc>
        <w:tc>
          <w:tcPr>
            <w:tcW w:w="1332" w:type="dxa"/>
            <w:tcBorders>
              <w:top w:val="nil"/>
              <w:left w:val="nil"/>
              <w:bottom w:val="nil"/>
              <w:right w:val="nil"/>
            </w:tcBorders>
            <w:shd w:val="clear" w:color="auto" w:fill="auto"/>
            <w:noWrap/>
            <w:vAlign w:val="bottom"/>
            <w:hideMark/>
          </w:tcPr>
          <w:p w14:paraId="4FD29A4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84</w:t>
            </w:r>
          </w:p>
        </w:tc>
        <w:tc>
          <w:tcPr>
            <w:tcW w:w="1300" w:type="dxa"/>
            <w:tcBorders>
              <w:top w:val="nil"/>
              <w:left w:val="nil"/>
              <w:bottom w:val="nil"/>
              <w:right w:val="nil"/>
            </w:tcBorders>
            <w:shd w:val="clear" w:color="auto" w:fill="auto"/>
            <w:noWrap/>
            <w:vAlign w:val="bottom"/>
            <w:hideMark/>
          </w:tcPr>
          <w:p w14:paraId="5D74B80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1.41</w:t>
            </w:r>
          </w:p>
        </w:tc>
        <w:tc>
          <w:tcPr>
            <w:tcW w:w="1300" w:type="dxa"/>
            <w:tcBorders>
              <w:top w:val="nil"/>
              <w:left w:val="nil"/>
              <w:bottom w:val="nil"/>
              <w:right w:val="nil"/>
            </w:tcBorders>
            <w:shd w:val="clear" w:color="auto" w:fill="auto"/>
            <w:noWrap/>
            <w:vAlign w:val="bottom"/>
            <w:hideMark/>
          </w:tcPr>
          <w:p w14:paraId="61C5E85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122</w:t>
            </w:r>
          </w:p>
        </w:tc>
        <w:tc>
          <w:tcPr>
            <w:tcW w:w="1300" w:type="dxa"/>
            <w:tcBorders>
              <w:top w:val="nil"/>
              <w:left w:val="nil"/>
              <w:bottom w:val="nil"/>
              <w:right w:val="nil"/>
            </w:tcBorders>
            <w:shd w:val="clear" w:color="auto" w:fill="auto"/>
            <w:noWrap/>
            <w:vAlign w:val="bottom"/>
            <w:hideMark/>
          </w:tcPr>
          <w:p w14:paraId="007064F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2.05</w:t>
            </w:r>
          </w:p>
        </w:tc>
        <w:tc>
          <w:tcPr>
            <w:tcW w:w="1300" w:type="dxa"/>
            <w:tcBorders>
              <w:top w:val="nil"/>
              <w:left w:val="nil"/>
              <w:bottom w:val="nil"/>
              <w:right w:val="nil"/>
            </w:tcBorders>
            <w:shd w:val="clear" w:color="auto" w:fill="auto"/>
            <w:noWrap/>
            <w:vAlign w:val="bottom"/>
            <w:hideMark/>
          </w:tcPr>
          <w:p w14:paraId="72DD68F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w:t>
            </w:r>
          </w:p>
        </w:tc>
        <w:tc>
          <w:tcPr>
            <w:tcW w:w="1300" w:type="dxa"/>
            <w:tcBorders>
              <w:top w:val="nil"/>
              <w:left w:val="nil"/>
              <w:bottom w:val="nil"/>
              <w:right w:val="nil"/>
            </w:tcBorders>
            <w:shd w:val="clear" w:color="auto" w:fill="auto"/>
            <w:noWrap/>
            <w:vAlign w:val="bottom"/>
            <w:hideMark/>
          </w:tcPr>
          <w:p w14:paraId="331179E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0.13</w:t>
            </w:r>
          </w:p>
        </w:tc>
        <w:tc>
          <w:tcPr>
            <w:tcW w:w="1300" w:type="dxa"/>
            <w:tcBorders>
              <w:top w:val="nil"/>
              <w:left w:val="nil"/>
              <w:bottom w:val="nil"/>
              <w:right w:val="nil"/>
            </w:tcBorders>
            <w:shd w:val="clear" w:color="auto" w:fill="auto"/>
            <w:noWrap/>
            <w:vAlign w:val="bottom"/>
            <w:hideMark/>
          </w:tcPr>
          <w:p w14:paraId="407F00D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206</w:t>
            </w:r>
          </w:p>
        </w:tc>
        <w:tc>
          <w:tcPr>
            <w:tcW w:w="1300" w:type="dxa"/>
            <w:tcBorders>
              <w:top w:val="nil"/>
              <w:left w:val="nil"/>
              <w:bottom w:val="nil"/>
              <w:right w:val="nil"/>
            </w:tcBorders>
            <w:shd w:val="clear" w:color="auto" w:fill="auto"/>
            <w:noWrap/>
            <w:vAlign w:val="bottom"/>
            <w:hideMark/>
          </w:tcPr>
          <w:p w14:paraId="634F209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3.46</w:t>
            </w:r>
          </w:p>
        </w:tc>
      </w:tr>
      <w:tr w:rsidR="00AC3513" w:rsidRPr="00A03996" w14:paraId="06F3DA18" w14:textId="77777777" w:rsidTr="00265DE9">
        <w:trPr>
          <w:trHeight w:val="300"/>
        </w:trPr>
        <w:tc>
          <w:tcPr>
            <w:tcW w:w="1637" w:type="dxa"/>
            <w:tcBorders>
              <w:top w:val="nil"/>
              <w:left w:val="nil"/>
              <w:bottom w:val="nil"/>
              <w:right w:val="nil"/>
            </w:tcBorders>
            <w:shd w:val="clear" w:color="auto" w:fill="auto"/>
            <w:noWrap/>
            <w:vAlign w:val="bottom"/>
            <w:hideMark/>
          </w:tcPr>
          <w:p w14:paraId="0E8DFC0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931" w:type="dxa"/>
            <w:tcBorders>
              <w:top w:val="nil"/>
              <w:left w:val="nil"/>
              <w:bottom w:val="nil"/>
              <w:right w:val="nil"/>
            </w:tcBorders>
            <w:shd w:val="clear" w:color="auto" w:fill="auto"/>
            <w:noWrap/>
            <w:vAlign w:val="bottom"/>
            <w:hideMark/>
          </w:tcPr>
          <w:p w14:paraId="780B883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99</w:t>
            </w:r>
          </w:p>
        </w:tc>
        <w:tc>
          <w:tcPr>
            <w:tcW w:w="1332" w:type="dxa"/>
            <w:tcBorders>
              <w:top w:val="nil"/>
              <w:left w:val="nil"/>
              <w:bottom w:val="nil"/>
              <w:right w:val="nil"/>
            </w:tcBorders>
            <w:shd w:val="clear" w:color="auto" w:fill="auto"/>
            <w:noWrap/>
            <w:vAlign w:val="bottom"/>
            <w:hideMark/>
          </w:tcPr>
          <w:p w14:paraId="6D758BB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168</w:t>
            </w:r>
          </w:p>
        </w:tc>
        <w:tc>
          <w:tcPr>
            <w:tcW w:w="1300" w:type="dxa"/>
            <w:tcBorders>
              <w:top w:val="nil"/>
              <w:left w:val="nil"/>
              <w:bottom w:val="nil"/>
              <w:right w:val="nil"/>
            </w:tcBorders>
            <w:shd w:val="clear" w:color="auto" w:fill="auto"/>
            <w:noWrap/>
            <w:vAlign w:val="bottom"/>
            <w:hideMark/>
          </w:tcPr>
          <w:p w14:paraId="517E788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1.70</w:t>
            </w:r>
          </w:p>
        </w:tc>
        <w:tc>
          <w:tcPr>
            <w:tcW w:w="1300" w:type="dxa"/>
            <w:tcBorders>
              <w:top w:val="nil"/>
              <w:left w:val="nil"/>
              <w:bottom w:val="nil"/>
              <w:right w:val="nil"/>
            </w:tcBorders>
            <w:shd w:val="clear" w:color="auto" w:fill="auto"/>
            <w:noWrap/>
            <w:vAlign w:val="bottom"/>
            <w:hideMark/>
          </w:tcPr>
          <w:p w14:paraId="7BE3772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191</w:t>
            </w:r>
          </w:p>
        </w:tc>
        <w:tc>
          <w:tcPr>
            <w:tcW w:w="1300" w:type="dxa"/>
            <w:tcBorders>
              <w:top w:val="nil"/>
              <w:left w:val="nil"/>
              <w:bottom w:val="nil"/>
              <w:right w:val="nil"/>
            </w:tcBorders>
            <w:shd w:val="clear" w:color="auto" w:fill="auto"/>
            <w:noWrap/>
            <w:vAlign w:val="bottom"/>
            <w:hideMark/>
          </w:tcPr>
          <w:p w14:paraId="60604E9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1.93</w:t>
            </w:r>
          </w:p>
        </w:tc>
        <w:tc>
          <w:tcPr>
            <w:tcW w:w="1300" w:type="dxa"/>
            <w:tcBorders>
              <w:top w:val="nil"/>
              <w:left w:val="nil"/>
              <w:bottom w:val="nil"/>
              <w:right w:val="nil"/>
            </w:tcBorders>
            <w:shd w:val="clear" w:color="auto" w:fill="auto"/>
            <w:noWrap/>
            <w:vAlign w:val="bottom"/>
            <w:hideMark/>
          </w:tcPr>
          <w:p w14:paraId="69B3F54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49</w:t>
            </w:r>
          </w:p>
        </w:tc>
        <w:tc>
          <w:tcPr>
            <w:tcW w:w="1300" w:type="dxa"/>
            <w:tcBorders>
              <w:top w:val="nil"/>
              <w:left w:val="nil"/>
              <w:bottom w:val="nil"/>
              <w:right w:val="nil"/>
            </w:tcBorders>
            <w:shd w:val="clear" w:color="auto" w:fill="auto"/>
            <w:noWrap/>
            <w:vAlign w:val="bottom"/>
            <w:hideMark/>
          </w:tcPr>
          <w:p w14:paraId="37D4CF3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0.49</w:t>
            </w:r>
          </w:p>
        </w:tc>
        <w:tc>
          <w:tcPr>
            <w:tcW w:w="1300" w:type="dxa"/>
            <w:tcBorders>
              <w:top w:val="nil"/>
              <w:left w:val="nil"/>
              <w:bottom w:val="nil"/>
              <w:right w:val="nil"/>
            </w:tcBorders>
            <w:shd w:val="clear" w:color="auto" w:fill="auto"/>
            <w:noWrap/>
            <w:vAlign w:val="bottom"/>
            <w:hideMark/>
          </w:tcPr>
          <w:p w14:paraId="7A1EAD4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359</w:t>
            </w:r>
          </w:p>
        </w:tc>
        <w:tc>
          <w:tcPr>
            <w:tcW w:w="1300" w:type="dxa"/>
            <w:tcBorders>
              <w:top w:val="nil"/>
              <w:left w:val="nil"/>
              <w:bottom w:val="nil"/>
              <w:right w:val="nil"/>
            </w:tcBorders>
            <w:shd w:val="clear" w:color="auto" w:fill="auto"/>
            <w:noWrap/>
            <w:vAlign w:val="bottom"/>
            <w:hideMark/>
          </w:tcPr>
          <w:p w14:paraId="05EA420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3.63</w:t>
            </w:r>
          </w:p>
        </w:tc>
      </w:tr>
    </w:tbl>
    <w:p w14:paraId="54026C23" w14:textId="77777777" w:rsidR="00AC3513" w:rsidRDefault="00AC3513" w:rsidP="00AC3513">
      <w:pPr>
        <w:spacing w:after="0" w:line="360" w:lineRule="auto"/>
        <w:jc w:val="both"/>
        <w:rPr>
          <w:rFonts w:ascii="Times New Roman" w:hAnsi="Times New Roman"/>
          <w:b/>
          <w:bCs/>
          <w:sz w:val="24"/>
          <w:szCs w:val="24"/>
          <w:lang w:val="en-GB"/>
        </w:rPr>
      </w:pPr>
    </w:p>
    <w:p w14:paraId="7BFB5500" w14:textId="77777777" w:rsidR="00AC3513" w:rsidRDefault="00AC3513" w:rsidP="00AC3513">
      <w:pPr>
        <w:spacing w:after="0" w:line="360" w:lineRule="auto"/>
        <w:jc w:val="both"/>
        <w:rPr>
          <w:rFonts w:ascii="Times New Roman" w:hAnsi="Times New Roman"/>
          <w:b/>
          <w:bCs/>
          <w:sz w:val="24"/>
          <w:szCs w:val="24"/>
          <w:lang w:val="en-GB"/>
        </w:rPr>
      </w:pPr>
    </w:p>
    <w:p w14:paraId="73F8DC7B"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Helvetica" w:hAnsi="Helvetica" w:cs="Helvetica"/>
          <w:noProof/>
          <w:sz w:val="32"/>
          <w:szCs w:val="32"/>
          <w:lang w:eastAsia="cs-CZ"/>
        </w:rPr>
        <w:drawing>
          <wp:inline distT="0" distB="0" distL="0" distR="0" wp14:anchorId="5966B276" wp14:editId="53D937A7">
            <wp:extent cx="6400800" cy="41148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2D2F41B6" w14:textId="77777777" w:rsidR="00AC3513" w:rsidRDefault="00AC3513" w:rsidP="00AC3513">
      <w:pPr>
        <w:spacing w:after="0" w:line="360" w:lineRule="auto"/>
        <w:jc w:val="both"/>
        <w:rPr>
          <w:rFonts w:ascii="Times New Roman" w:hAnsi="Times New Roman"/>
          <w:b/>
          <w:bCs/>
          <w:sz w:val="24"/>
          <w:szCs w:val="24"/>
          <w:lang w:val="en-GB"/>
        </w:rPr>
      </w:pPr>
    </w:p>
    <w:tbl>
      <w:tblPr>
        <w:tblW w:w="14300" w:type="dxa"/>
        <w:tblInd w:w="93" w:type="dxa"/>
        <w:tblLook w:val="04A0" w:firstRow="1" w:lastRow="0" w:firstColumn="1" w:lastColumn="0" w:noHBand="0" w:noVBand="1"/>
      </w:tblPr>
      <w:tblGrid>
        <w:gridCol w:w="1657"/>
        <w:gridCol w:w="943"/>
        <w:gridCol w:w="1300"/>
        <w:gridCol w:w="1300"/>
        <w:gridCol w:w="1300"/>
        <w:gridCol w:w="1300"/>
        <w:gridCol w:w="1300"/>
        <w:gridCol w:w="1300"/>
        <w:gridCol w:w="1300"/>
        <w:gridCol w:w="1300"/>
        <w:gridCol w:w="1300"/>
      </w:tblGrid>
      <w:tr w:rsidR="00AC3513" w:rsidRPr="00AC72BF" w14:paraId="05794D99" w14:textId="77777777" w:rsidTr="00265DE9">
        <w:trPr>
          <w:trHeight w:val="300"/>
        </w:trPr>
        <w:tc>
          <w:tcPr>
            <w:tcW w:w="2600" w:type="dxa"/>
            <w:gridSpan w:val="2"/>
            <w:tcBorders>
              <w:top w:val="nil"/>
              <w:left w:val="nil"/>
              <w:bottom w:val="nil"/>
              <w:right w:val="nil"/>
            </w:tcBorders>
            <w:shd w:val="clear" w:color="auto" w:fill="auto"/>
            <w:noWrap/>
            <w:vAlign w:val="bottom"/>
            <w:hideMark/>
          </w:tcPr>
          <w:p w14:paraId="77A07B3D" w14:textId="022DEF9D" w:rsidR="00AC3513" w:rsidRPr="00AC72BF" w:rsidRDefault="00AC3513" w:rsidP="00265DE9">
            <w:pPr>
              <w:spacing w:after="0" w:line="240" w:lineRule="auto"/>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lastRenderedPageBreak/>
              <w:t>Clinical medicine</w:t>
            </w:r>
            <w:r w:rsidR="009D3620">
              <w:rPr>
                <w:rFonts w:ascii="Times New Roman" w:eastAsia="Times New Roman" w:hAnsi="Times New Roman"/>
                <w:b/>
                <w:color w:val="000000"/>
                <w:sz w:val="24"/>
                <w:szCs w:val="24"/>
                <w:lang w:val="en-GB"/>
              </w:rPr>
              <w:t xml:space="preserve"> FORD</w:t>
            </w:r>
          </w:p>
        </w:tc>
        <w:tc>
          <w:tcPr>
            <w:tcW w:w="1300" w:type="dxa"/>
            <w:tcBorders>
              <w:top w:val="nil"/>
              <w:left w:val="nil"/>
              <w:bottom w:val="nil"/>
              <w:right w:val="nil"/>
            </w:tcBorders>
            <w:shd w:val="clear" w:color="auto" w:fill="auto"/>
            <w:noWrap/>
            <w:vAlign w:val="bottom"/>
            <w:hideMark/>
          </w:tcPr>
          <w:p w14:paraId="62A4D3F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864677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EE358E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2D5EFEE"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46253DB"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B37BC98"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44AEA5D"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90DAEC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F6DC9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r>
      <w:tr w:rsidR="00AC3513" w:rsidRPr="00AC72BF" w14:paraId="1F25F1BD" w14:textId="77777777" w:rsidTr="00265DE9">
        <w:trPr>
          <w:trHeight w:val="300"/>
        </w:trPr>
        <w:tc>
          <w:tcPr>
            <w:tcW w:w="1657" w:type="dxa"/>
            <w:tcBorders>
              <w:top w:val="nil"/>
              <w:left w:val="nil"/>
              <w:bottom w:val="nil"/>
              <w:right w:val="nil"/>
            </w:tcBorders>
            <w:shd w:val="clear" w:color="auto" w:fill="auto"/>
            <w:noWrap/>
            <w:vAlign w:val="bottom"/>
            <w:hideMark/>
          </w:tcPr>
          <w:p w14:paraId="19A297A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Unit</w:t>
            </w:r>
          </w:p>
        </w:tc>
        <w:tc>
          <w:tcPr>
            <w:tcW w:w="943" w:type="dxa"/>
            <w:tcBorders>
              <w:top w:val="nil"/>
              <w:left w:val="nil"/>
              <w:bottom w:val="nil"/>
              <w:right w:val="nil"/>
            </w:tcBorders>
            <w:shd w:val="clear" w:color="auto" w:fill="auto"/>
            <w:noWrap/>
            <w:vAlign w:val="bottom"/>
            <w:hideMark/>
          </w:tcPr>
          <w:p w14:paraId="0DA1074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HC</w:t>
            </w:r>
          </w:p>
        </w:tc>
        <w:tc>
          <w:tcPr>
            <w:tcW w:w="1300" w:type="dxa"/>
            <w:tcBorders>
              <w:top w:val="nil"/>
              <w:left w:val="nil"/>
              <w:bottom w:val="nil"/>
              <w:right w:val="nil"/>
            </w:tcBorders>
            <w:shd w:val="clear" w:color="auto" w:fill="auto"/>
            <w:noWrap/>
            <w:vAlign w:val="bottom"/>
            <w:hideMark/>
          </w:tcPr>
          <w:p w14:paraId="75A0592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Share Major</w:t>
            </w:r>
          </w:p>
        </w:tc>
        <w:tc>
          <w:tcPr>
            <w:tcW w:w="1300" w:type="dxa"/>
            <w:tcBorders>
              <w:top w:val="nil"/>
              <w:left w:val="nil"/>
              <w:bottom w:val="nil"/>
              <w:right w:val="nil"/>
            </w:tcBorders>
            <w:shd w:val="clear" w:color="auto" w:fill="auto"/>
            <w:noWrap/>
            <w:vAlign w:val="bottom"/>
            <w:hideMark/>
          </w:tcPr>
          <w:p w14:paraId="2388EF68"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5755322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7A713BE2"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65133EC4"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2E5BD42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13E7763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31AE50AE"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0759E800" w14:textId="77777777" w:rsidR="00AC3513" w:rsidRPr="00416F7E" w:rsidRDefault="00AC3513" w:rsidP="00265DE9">
            <w:pPr>
              <w:spacing w:after="0" w:line="240" w:lineRule="auto"/>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Total P/A</w:t>
            </w:r>
          </w:p>
        </w:tc>
      </w:tr>
      <w:tr w:rsidR="00AC3513" w:rsidRPr="00AC72BF" w14:paraId="7CCA89EF" w14:textId="77777777" w:rsidTr="00265DE9">
        <w:trPr>
          <w:trHeight w:val="300"/>
        </w:trPr>
        <w:tc>
          <w:tcPr>
            <w:tcW w:w="1657" w:type="dxa"/>
            <w:tcBorders>
              <w:top w:val="nil"/>
              <w:left w:val="nil"/>
              <w:bottom w:val="nil"/>
              <w:right w:val="nil"/>
            </w:tcBorders>
            <w:shd w:val="clear" w:color="auto" w:fill="auto"/>
            <w:noWrap/>
            <w:vAlign w:val="bottom"/>
            <w:hideMark/>
          </w:tcPr>
          <w:p w14:paraId="0DB799C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 LF</w:t>
            </w:r>
          </w:p>
        </w:tc>
        <w:tc>
          <w:tcPr>
            <w:tcW w:w="943" w:type="dxa"/>
            <w:tcBorders>
              <w:top w:val="nil"/>
              <w:left w:val="nil"/>
              <w:bottom w:val="nil"/>
              <w:right w:val="nil"/>
            </w:tcBorders>
            <w:shd w:val="clear" w:color="auto" w:fill="auto"/>
            <w:noWrap/>
            <w:vAlign w:val="bottom"/>
            <w:hideMark/>
          </w:tcPr>
          <w:p w14:paraId="57944BE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933</w:t>
            </w:r>
          </w:p>
        </w:tc>
        <w:tc>
          <w:tcPr>
            <w:tcW w:w="1300" w:type="dxa"/>
            <w:tcBorders>
              <w:top w:val="nil"/>
              <w:left w:val="nil"/>
              <w:bottom w:val="nil"/>
              <w:right w:val="nil"/>
            </w:tcBorders>
            <w:shd w:val="clear" w:color="auto" w:fill="auto"/>
            <w:noWrap/>
            <w:vAlign w:val="bottom"/>
            <w:hideMark/>
          </w:tcPr>
          <w:p w14:paraId="6F2FBA9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74.0%</w:t>
            </w:r>
          </w:p>
        </w:tc>
        <w:tc>
          <w:tcPr>
            <w:tcW w:w="1300" w:type="dxa"/>
            <w:tcBorders>
              <w:top w:val="nil"/>
              <w:left w:val="nil"/>
              <w:bottom w:val="nil"/>
              <w:right w:val="nil"/>
            </w:tcBorders>
            <w:shd w:val="clear" w:color="auto" w:fill="auto"/>
            <w:noWrap/>
            <w:vAlign w:val="bottom"/>
            <w:hideMark/>
          </w:tcPr>
          <w:p w14:paraId="1517555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993</w:t>
            </w:r>
          </w:p>
        </w:tc>
        <w:tc>
          <w:tcPr>
            <w:tcW w:w="1300" w:type="dxa"/>
            <w:tcBorders>
              <w:top w:val="nil"/>
              <w:left w:val="nil"/>
              <w:bottom w:val="nil"/>
              <w:right w:val="nil"/>
            </w:tcBorders>
            <w:shd w:val="clear" w:color="auto" w:fill="auto"/>
            <w:noWrap/>
            <w:vAlign w:val="bottom"/>
            <w:hideMark/>
          </w:tcPr>
          <w:p w14:paraId="3B31633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1.06</w:t>
            </w:r>
          </w:p>
        </w:tc>
        <w:tc>
          <w:tcPr>
            <w:tcW w:w="1300" w:type="dxa"/>
            <w:tcBorders>
              <w:top w:val="nil"/>
              <w:left w:val="nil"/>
              <w:bottom w:val="nil"/>
              <w:right w:val="nil"/>
            </w:tcBorders>
            <w:shd w:val="clear" w:color="auto" w:fill="auto"/>
            <w:noWrap/>
            <w:vAlign w:val="bottom"/>
            <w:hideMark/>
          </w:tcPr>
          <w:p w14:paraId="70B702F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758</w:t>
            </w:r>
          </w:p>
        </w:tc>
        <w:tc>
          <w:tcPr>
            <w:tcW w:w="1300" w:type="dxa"/>
            <w:tcBorders>
              <w:top w:val="nil"/>
              <w:left w:val="nil"/>
              <w:bottom w:val="nil"/>
              <w:right w:val="nil"/>
            </w:tcBorders>
            <w:shd w:val="clear" w:color="auto" w:fill="auto"/>
            <w:noWrap/>
            <w:vAlign w:val="bottom"/>
            <w:hideMark/>
          </w:tcPr>
          <w:p w14:paraId="37F90E4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0.81</w:t>
            </w:r>
          </w:p>
        </w:tc>
        <w:tc>
          <w:tcPr>
            <w:tcW w:w="1300" w:type="dxa"/>
            <w:tcBorders>
              <w:top w:val="nil"/>
              <w:left w:val="nil"/>
              <w:bottom w:val="nil"/>
              <w:right w:val="nil"/>
            </w:tcBorders>
            <w:shd w:val="clear" w:color="auto" w:fill="auto"/>
            <w:noWrap/>
            <w:vAlign w:val="bottom"/>
            <w:hideMark/>
          </w:tcPr>
          <w:p w14:paraId="68A67AB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324</w:t>
            </w:r>
          </w:p>
        </w:tc>
        <w:tc>
          <w:tcPr>
            <w:tcW w:w="1300" w:type="dxa"/>
            <w:tcBorders>
              <w:top w:val="nil"/>
              <w:left w:val="nil"/>
              <w:bottom w:val="nil"/>
              <w:right w:val="nil"/>
            </w:tcBorders>
            <w:shd w:val="clear" w:color="auto" w:fill="auto"/>
            <w:noWrap/>
            <w:vAlign w:val="bottom"/>
            <w:hideMark/>
          </w:tcPr>
          <w:p w14:paraId="55BE70A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0.35</w:t>
            </w:r>
          </w:p>
        </w:tc>
        <w:tc>
          <w:tcPr>
            <w:tcW w:w="1300" w:type="dxa"/>
            <w:tcBorders>
              <w:top w:val="nil"/>
              <w:left w:val="nil"/>
              <w:bottom w:val="nil"/>
              <w:right w:val="nil"/>
            </w:tcBorders>
            <w:shd w:val="clear" w:color="auto" w:fill="auto"/>
            <w:noWrap/>
            <w:vAlign w:val="bottom"/>
            <w:hideMark/>
          </w:tcPr>
          <w:p w14:paraId="05F5B7E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1,751</w:t>
            </w:r>
          </w:p>
        </w:tc>
        <w:tc>
          <w:tcPr>
            <w:tcW w:w="1300" w:type="dxa"/>
            <w:tcBorders>
              <w:top w:val="nil"/>
              <w:left w:val="nil"/>
              <w:bottom w:val="nil"/>
              <w:right w:val="nil"/>
            </w:tcBorders>
            <w:shd w:val="clear" w:color="auto" w:fill="auto"/>
            <w:noWrap/>
            <w:vAlign w:val="bottom"/>
            <w:hideMark/>
          </w:tcPr>
          <w:p w14:paraId="3E9BDF19"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1.88</w:t>
            </w:r>
          </w:p>
        </w:tc>
      </w:tr>
      <w:tr w:rsidR="00AC3513" w:rsidRPr="00AC72BF" w14:paraId="72EAB8A6" w14:textId="77777777" w:rsidTr="00265DE9">
        <w:trPr>
          <w:trHeight w:val="300"/>
        </w:trPr>
        <w:tc>
          <w:tcPr>
            <w:tcW w:w="1657" w:type="dxa"/>
            <w:tcBorders>
              <w:top w:val="nil"/>
              <w:left w:val="nil"/>
              <w:bottom w:val="nil"/>
              <w:right w:val="nil"/>
            </w:tcBorders>
            <w:shd w:val="clear" w:color="auto" w:fill="auto"/>
            <w:noWrap/>
            <w:vAlign w:val="bottom"/>
            <w:hideMark/>
          </w:tcPr>
          <w:p w14:paraId="011A9D7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 LF</w:t>
            </w:r>
          </w:p>
        </w:tc>
        <w:tc>
          <w:tcPr>
            <w:tcW w:w="943" w:type="dxa"/>
            <w:tcBorders>
              <w:top w:val="nil"/>
              <w:left w:val="nil"/>
              <w:bottom w:val="nil"/>
              <w:right w:val="nil"/>
            </w:tcBorders>
            <w:shd w:val="clear" w:color="auto" w:fill="auto"/>
            <w:noWrap/>
            <w:vAlign w:val="bottom"/>
            <w:hideMark/>
          </w:tcPr>
          <w:p w14:paraId="7516EF8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502</w:t>
            </w:r>
          </w:p>
        </w:tc>
        <w:tc>
          <w:tcPr>
            <w:tcW w:w="1300" w:type="dxa"/>
            <w:tcBorders>
              <w:top w:val="nil"/>
              <w:left w:val="nil"/>
              <w:bottom w:val="nil"/>
              <w:right w:val="nil"/>
            </w:tcBorders>
            <w:shd w:val="clear" w:color="auto" w:fill="auto"/>
            <w:noWrap/>
            <w:vAlign w:val="bottom"/>
            <w:hideMark/>
          </w:tcPr>
          <w:p w14:paraId="0BF1364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78.8%</w:t>
            </w:r>
          </w:p>
        </w:tc>
        <w:tc>
          <w:tcPr>
            <w:tcW w:w="1300" w:type="dxa"/>
            <w:tcBorders>
              <w:top w:val="nil"/>
              <w:left w:val="nil"/>
              <w:bottom w:val="nil"/>
              <w:right w:val="nil"/>
            </w:tcBorders>
            <w:shd w:val="clear" w:color="auto" w:fill="auto"/>
            <w:noWrap/>
            <w:vAlign w:val="bottom"/>
            <w:hideMark/>
          </w:tcPr>
          <w:p w14:paraId="3FBC852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595</w:t>
            </w:r>
          </w:p>
        </w:tc>
        <w:tc>
          <w:tcPr>
            <w:tcW w:w="1300" w:type="dxa"/>
            <w:tcBorders>
              <w:top w:val="nil"/>
              <w:left w:val="nil"/>
              <w:bottom w:val="nil"/>
              <w:right w:val="nil"/>
            </w:tcBorders>
            <w:shd w:val="clear" w:color="auto" w:fill="auto"/>
            <w:noWrap/>
            <w:vAlign w:val="bottom"/>
            <w:hideMark/>
          </w:tcPr>
          <w:p w14:paraId="3E4C316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1.19</w:t>
            </w:r>
          </w:p>
        </w:tc>
        <w:tc>
          <w:tcPr>
            <w:tcW w:w="1300" w:type="dxa"/>
            <w:tcBorders>
              <w:top w:val="nil"/>
              <w:left w:val="nil"/>
              <w:bottom w:val="nil"/>
              <w:right w:val="nil"/>
            </w:tcBorders>
            <w:shd w:val="clear" w:color="auto" w:fill="auto"/>
            <w:noWrap/>
            <w:vAlign w:val="bottom"/>
            <w:hideMark/>
          </w:tcPr>
          <w:p w14:paraId="0C113F2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401</w:t>
            </w:r>
          </w:p>
        </w:tc>
        <w:tc>
          <w:tcPr>
            <w:tcW w:w="1300" w:type="dxa"/>
            <w:tcBorders>
              <w:top w:val="nil"/>
              <w:left w:val="nil"/>
              <w:bottom w:val="nil"/>
              <w:right w:val="nil"/>
            </w:tcBorders>
            <w:shd w:val="clear" w:color="auto" w:fill="auto"/>
            <w:noWrap/>
            <w:vAlign w:val="bottom"/>
            <w:hideMark/>
          </w:tcPr>
          <w:p w14:paraId="0CAF734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0.80</w:t>
            </w:r>
          </w:p>
        </w:tc>
        <w:tc>
          <w:tcPr>
            <w:tcW w:w="1300" w:type="dxa"/>
            <w:tcBorders>
              <w:top w:val="nil"/>
              <w:left w:val="nil"/>
              <w:bottom w:val="nil"/>
              <w:right w:val="nil"/>
            </w:tcBorders>
            <w:shd w:val="clear" w:color="auto" w:fill="auto"/>
            <w:noWrap/>
            <w:vAlign w:val="bottom"/>
            <w:hideMark/>
          </w:tcPr>
          <w:p w14:paraId="41E5938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188</w:t>
            </w:r>
          </w:p>
        </w:tc>
        <w:tc>
          <w:tcPr>
            <w:tcW w:w="1300" w:type="dxa"/>
            <w:tcBorders>
              <w:top w:val="nil"/>
              <w:left w:val="nil"/>
              <w:bottom w:val="nil"/>
              <w:right w:val="nil"/>
            </w:tcBorders>
            <w:shd w:val="clear" w:color="auto" w:fill="auto"/>
            <w:noWrap/>
            <w:vAlign w:val="bottom"/>
            <w:hideMark/>
          </w:tcPr>
          <w:p w14:paraId="1F587E4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0.37</w:t>
            </w:r>
          </w:p>
        </w:tc>
        <w:tc>
          <w:tcPr>
            <w:tcW w:w="1300" w:type="dxa"/>
            <w:tcBorders>
              <w:top w:val="nil"/>
              <w:left w:val="nil"/>
              <w:bottom w:val="nil"/>
              <w:right w:val="nil"/>
            </w:tcBorders>
            <w:shd w:val="clear" w:color="auto" w:fill="auto"/>
            <w:noWrap/>
            <w:vAlign w:val="bottom"/>
            <w:hideMark/>
          </w:tcPr>
          <w:p w14:paraId="20F0348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996</w:t>
            </w:r>
          </w:p>
        </w:tc>
        <w:tc>
          <w:tcPr>
            <w:tcW w:w="1300" w:type="dxa"/>
            <w:tcBorders>
              <w:top w:val="nil"/>
              <w:left w:val="nil"/>
              <w:bottom w:val="nil"/>
              <w:right w:val="nil"/>
            </w:tcBorders>
            <w:shd w:val="clear" w:color="auto" w:fill="auto"/>
            <w:noWrap/>
            <w:vAlign w:val="bottom"/>
            <w:hideMark/>
          </w:tcPr>
          <w:p w14:paraId="3A1C836D"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1.98</w:t>
            </w:r>
          </w:p>
        </w:tc>
      </w:tr>
      <w:tr w:rsidR="00AC3513" w:rsidRPr="00AC72BF" w14:paraId="30CA875F" w14:textId="77777777" w:rsidTr="00265DE9">
        <w:trPr>
          <w:trHeight w:val="300"/>
        </w:trPr>
        <w:tc>
          <w:tcPr>
            <w:tcW w:w="1657" w:type="dxa"/>
            <w:tcBorders>
              <w:top w:val="nil"/>
              <w:left w:val="nil"/>
              <w:bottom w:val="nil"/>
              <w:right w:val="nil"/>
            </w:tcBorders>
            <w:shd w:val="clear" w:color="auto" w:fill="auto"/>
            <w:noWrap/>
            <w:vAlign w:val="bottom"/>
            <w:hideMark/>
          </w:tcPr>
          <w:p w14:paraId="31BAA02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 LF</w:t>
            </w:r>
          </w:p>
        </w:tc>
        <w:tc>
          <w:tcPr>
            <w:tcW w:w="943" w:type="dxa"/>
            <w:tcBorders>
              <w:top w:val="nil"/>
              <w:left w:val="nil"/>
              <w:bottom w:val="nil"/>
              <w:right w:val="nil"/>
            </w:tcBorders>
            <w:shd w:val="clear" w:color="auto" w:fill="auto"/>
            <w:noWrap/>
            <w:vAlign w:val="bottom"/>
            <w:hideMark/>
          </w:tcPr>
          <w:p w14:paraId="5F9EEF1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376</w:t>
            </w:r>
          </w:p>
        </w:tc>
        <w:tc>
          <w:tcPr>
            <w:tcW w:w="1300" w:type="dxa"/>
            <w:tcBorders>
              <w:top w:val="nil"/>
              <w:left w:val="nil"/>
              <w:bottom w:val="nil"/>
              <w:right w:val="nil"/>
            </w:tcBorders>
            <w:shd w:val="clear" w:color="auto" w:fill="auto"/>
            <w:noWrap/>
            <w:vAlign w:val="bottom"/>
            <w:hideMark/>
          </w:tcPr>
          <w:p w14:paraId="6F46B63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79.3%</w:t>
            </w:r>
          </w:p>
        </w:tc>
        <w:tc>
          <w:tcPr>
            <w:tcW w:w="1300" w:type="dxa"/>
            <w:tcBorders>
              <w:top w:val="nil"/>
              <w:left w:val="nil"/>
              <w:bottom w:val="nil"/>
              <w:right w:val="nil"/>
            </w:tcBorders>
            <w:shd w:val="clear" w:color="auto" w:fill="auto"/>
            <w:noWrap/>
            <w:vAlign w:val="bottom"/>
            <w:hideMark/>
          </w:tcPr>
          <w:p w14:paraId="06C9680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309</w:t>
            </w:r>
          </w:p>
        </w:tc>
        <w:tc>
          <w:tcPr>
            <w:tcW w:w="1300" w:type="dxa"/>
            <w:tcBorders>
              <w:top w:val="nil"/>
              <w:left w:val="nil"/>
              <w:bottom w:val="nil"/>
              <w:right w:val="nil"/>
            </w:tcBorders>
            <w:shd w:val="clear" w:color="auto" w:fill="auto"/>
            <w:noWrap/>
            <w:vAlign w:val="bottom"/>
            <w:hideMark/>
          </w:tcPr>
          <w:p w14:paraId="77A8746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0.82</w:t>
            </w:r>
          </w:p>
        </w:tc>
        <w:tc>
          <w:tcPr>
            <w:tcW w:w="1300" w:type="dxa"/>
            <w:tcBorders>
              <w:top w:val="nil"/>
              <w:left w:val="nil"/>
              <w:bottom w:val="nil"/>
              <w:right w:val="nil"/>
            </w:tcBorders>
            <w:shd w:val="clear" w:color="auto" w:fill="auto"/>
            <w:noWrap/>
            <w:vAlign w:val="bottom"/>
            <w:hideMark/>
          </w:tcPr>
          <w:p w14:paraId="1485DB6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315</w:t>
            </w:r>
          </w:p>
        </w:tc>
        <w:tc>
          <w:tcPr>
            <w:tcW w:w="1300" w:type="dxa"/>
            <w:tcBorders>
              <w:top w:val="nil"/>
              <w:left w:val="nil"/>
              <w:bottom w:val="nil"/>
              <w:right w:val="nil"/>
            </w:tcBorders>
            <w:shd w:val="clear" w:color="auto" w:fill="auto"/>
            <w:noWrap/>
            <w:vAlign w:val="bottom"/>
            <w:hideMark/>
          </w:tcPr>
          <w:p w14:paraId="6E3DAA7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0.84</w:t>
            </w:r>
          </w:p>
        </w:tc>
        <w:tc>
          <w:tcPr>
            <w:tcW w:w="1300" w:type="dxa"/>
            <w:tcBorders>
              <w:top w:val="nil"/>
              <w:left w:val="nil"/>
              <w:bottom w:val="nil"/>
              <w:right w:val="nil"/>
            </w:tcBorders>
            <w:shd w:val="clear" w:color="auto" w:fill="auto"/>
            <w:noWrap/>
            <w:vAlign w:val="bottom"/>
            <w:hideMark/>
          </w:tcPr>
          <w:p w14:paraId="4EC0B69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1300" w:type="dxa"/>
            <w:tcBorders>
              <w:top w:val="nil"/>
              <w:left w:val="nil"/>
              <w:bottom w:val="nil"/>
              <w:right w:val="nil"/>
            </w:tcBorders>
            <w:shd w:val="clear" w:color="auto" w:fill="auto"/>
            <w:noWrap/>
            <w:vAlign w:val="bottom"/>
            <w:hideMark/>
          </w:tcPr>
          <w:p w14:paraId="5228F34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0.19</w:t>
            </w:r>
          </w:p>
        </w:tc>
        <w:tc>
          <w:tcPr>
            <w:tcW w:w="1300" w:type="dxa"/>
            <w:tcBorders>
              <w:top w:val="nil"/>
              <w:left w:val="nil"/>
              <w:bottom w:val="nil"/>
              <w:right w:val="nil"/>
            </w:tcBorders>
            <w:shd w:val="clear" w:color="auto" w:fill="auto"/>
            <w:noWrap/>
            <w:vAlign w:val="bottom"/>
            <w:hideMark/>
          </w:tcPr>
          <w:p w14:paraId="0808D3E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624</w:t>
            </w:r>
          </w:p>
        </w:tc>
        <w:tc>
          <w:tcPr>
            <w:tcW w:w="1300" w:type="dxa"/>
            <w:tcBorders>
              <w:top w:val="nil"/>
              <w:left w:val="nil"/>
              <w:bottom w:val="nil"/>
              <w:right w:val="nil"/>
            </w:tcBorders>
            <w:shd w:val="clear" w:color="auto" w:fill="auto"/>
            <w:noWrap/>
            <w:vAlign w:val="bottom"/>
            <w:hideMark/>
          </w:tcPr>
          <w:p w14:paraId="55B58C0C"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1.66</w:t>
            </w:r>
          </w:p>
        </w:tc>
      </w:tr>
      <w:tr w:rsidR="00AC3513" w:rsidRPr="00AC72BF" w14:paraId="663A3BFE" w14:textId="77777777" w:rsidTr="00265DE9">
        <w:trPr>
          <w:trHeight w:val="300"/>
        </w:trPr>
        <w:tc>
          <w:tcPr>
            <w:tcW w:w="1657" w:type="dxa"/>
            <w:tcBorders>
              <w:top w:val="nil"/>
              <w:left w:val="nil"/>
              <w:bottom w:val="nil"/>
              <w:right w:val="nil"/>
            </w:tcBorders>
            <w:shd w:val="clear" w:color="auto" w:fill="auto"/>
            <w:noWrap/>
            <w:vAlign w:val="bottom"/>
            <w:hideMark/>
          </w:tcPr>
          <w:p w14:paraId="64B8074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FaF HK</w:t>
            </w:r>
          </w:p>
        </w:tc>
        <w:tc>
          <w:tcPr>
            <w:tcW w:w="943" w:type="dxa"/>
            <w:tcBorders>
              <w:top w:val="nil"/>
              <w:left w:val="nil"/>
              <w:bottom w:val="nil"/>
              <w:right w:val="nil"/>
            </w:tcBorders>
            <w:shd w:val="clear" w:color="auto" w:fill="auto"/>
            <w:noWrap/>
            <w:vAlign w:val="bottom"/>
            <w:hideMark/>
          </w:tcPr>
          <w:p w14:paraId="02FBF86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30</w:t>
            </w:r>
          </w:p>
        </w:tc>
        <w:tc>
          <w:tcPr>
            <w:tcW w:w="1300" w:type="dxa"/>
            <w:tcBorders>
              <w:top w:val="nil"/>
              <w:left w:val="nil"/>
              <w:bottom w:val="nil"/>
              <w:right w:val="nil"/>
            </w:tcBorders>
            <w:shd w:val="clear" w:color="auto" w:fill="auto"/>
            <w:noWrap/>
            <w:vAlign w:val="bottom"/>
            <w:hideMark/>
          </w:tcPr>
          <w:p w14:paraId="17743C9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25.4%</w:t>
            </w:r>
          </w:p>
        </w:tc>
        <w:tc>
          <w:tcPr>
            <w:tcW w:w="1300" w:type="dxa"/>
            <w:tcBorders>
              <w:top w:val="nil"/>
              <w:left w:val="nil"/>
              <w:bottom w:val="nil"/>
              <w:right w:val="nil"/>
            </w:tcBorders>
            <w:shd w:val="clear" w:color="auto" w:fill="auto"/>
            <w:noWrap/>
            <w:vAlign w:val="bottom"/>
            <w:hideMark/>
          </w:tcPr>
          <w:p w14:paraId="61452BC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42</w:t>
            </w:r>
          </w:p>
        </w:tc>
        <w:tc>
          <w:tcPr>
            <w:tcW w:w="1300" w:type="dxa"/>
            <w:tcBorders>
              <w:top w:val="nil"/>
              <w:left w:val="nil"/>
              <w:bottom w:val="nil"/>
              <w:right w:val="nil"/>
            </w:tcBorders>
            <w:shd w:val="clear" w:color="auto" w:fill="auto"/>
            <w:noWrap/>
            <w:vAlign w:val="bottom"/>
            <w:hideMark/>
          </w:tcPr>
          <w:p w14:paraId="35AE11C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1.40</w:t>
            </w:r>
          </w:p>
        </w:tc>
        <w:tc>
          <w:tcPr>
            <w:tcW w:w="1300" w:type="dxa"/>
            <w:tcBorders>
              <w:top w:val="nil"/>
              <w:left w:val="nil"/>
              <w:bottom w:val="nil"/>
              <w:right w:val="nil"/>
            </w:tcBorders>
            <w:shd w:val="clear" w:color="auto" w:fill="auto"/>
            <w:noWrap/>
            <w:vAlign w:val="bottom"/>
            <w:hideMark/>
          </w:tcPr>
          <w:p w14:paraId="71EC722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30</w:t>
            </w:r>
          </w:p>
        </w:tc>
        <w:tc>
          <w:tcPr>
            <w:tcW w:w="1300" w:type="dxa"/>
            <w:tcBorders>
              <w:top w:val="nil"/>
              <w:left w:val="nil"/>
              <w:bottom w:val="nil"/>
              <w:right w:val="nil"/>
            </w:tcBorders>
            <w:shd w:val="clear" w:color="auto" w:fill="auto"/>
            <w:noWrap/>
            <w:vAlign w:val="bottom"/>
            <w:hideMark/>
          </w:tcPr>
          <w:p w14:paraId="16E530B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1.00</w:t>
            </w:r>
          </w:p>
        </w:tc>
        <w:tc>
          <w:tcPr>
            <w:tcW w:w="1300" w:type="dxa"/>
            <w:tcBorders>
              <w:top w:val="nil"/>
              <w:left w:val="nil"/>
              <w:bottom w:val="nil"/>
              <w:right w:val="nil"/>
            </w:tcBorders>
            <w:shd w:val="clear" w:color="auto" w:fill="auto"/>
            <w:noWrap/>
            <w:vAlign w:val="bottom"/>
            <w:hideMark/>
          </w:tcPr>
          <w:p w14:paraId="718ACCC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74DF92A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0.07</w:t>
            </w:r>
          </w:p>
        </w:tc>
        <w:tc>
          <w:tcPr>
            <w:tcW w:w="1300" w:type="dxa"/>
            <w:tcBorders>
              <w:top w:val="nil"/>
              <w:left w:val="nil"/>
              <w:bottom w:val="nil"/>
              <w:right w:val="nil"/>
            </w:tcBorders>
            <w:shd w:val="clear" w:color="auto" w:fill="auto"/>
            <w:noWrap/>
            <w:vAlign w:val="bottom"/>
            <w:hideMark/>
          </w:tcPr>
          <w:p w14:paraId="400A549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1300" w:type="dxa"/>
            <w:tcBorders>
              <w:top w:val="nil"/>
              <w:left w:val="nil"/>
              <w:bottom w:val="nil"/>
              <w:right w:val="nil"/>
            </w:tcBorders>
            <w:shd w:val="clear" w:color="auto" w:fill="auto"/>
            <w:noWrap/>
            <w:vAlign w:val="bottom"/>
            <w:hideMark/>
          </w:tcPr>
          <w:p w14:paraId="675C97D9"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2.40</w:t>
            </w:r>
          </w:p>
        </w:tc>
      </w:tr>
      <w:tr w:rsidR="00AC3513" w:rsidRPr="00AC72BF" w14:paraId="48154598" w14:textId="77777777" w:rsidTr="00265DE9">
        <w:trPr>
          <w:trHeight w:val="300"/>
        </w:trPr>
        <w:tc>
          <w:tcPr>
            <w:tcW w:w="1657" w:type="dxa"/>
            <w:tcBorders>
              <w:top w:val="nil"/>
              <w:left w:val="nil"/>
              <w:bottom w:val="nil"/>
              <w:right w:val="nil"/>
            </w:tcBorders>
            <w:shd w:val="clear" w:color="auto" w:fill="auto"/>
            <w:noWrap/>
            <w:vAlign w:val="bottom"/>
            <w:hideMark/>
          </w:tcPr>
          <w:p w14:paraId="631C692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LFHK</w:t>
            </w:r>
          </w:p>
        </w:tc>
        <w:tc>
          <w:tcPr>
            <w:tcW w:w="943" w:type="dxa"/>
            <w:tcBorders>
              <w:top w:val="nil"/>
              <w:left w:val="nil"/>
              <w:bottom w:val="nil"/>
              <w:right w:val="nil"/>
            </w:tcBorders>
            <w:shd w:val="clear" w:color="auto" w:fill="auto"/>
            <w:noWrap/>
            <w:vAlign w:val="bottom"/>
            <w:hideMark/>
          </w:tcPr>
          <w:p w14:paraId="53FAA38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351</w:t>
            </w:r>
          </w:p>
        </w:tc>
        <w:tc>
          <w:tcPr>
            <w:tcW w:w="1300" w:type="dxa"/>
            <w:tcBorders>
              <w:top w:val="nil"/>
              <w:left w:val="nil"/>
              <w:bottom w:val="nil"/>
              <w:right w:val="nil"/>
            </w:tcBorders>
            <w:shd w:val="clear" w:color="auto" w:fill="auto"/>
            <w:noWrap/>
            <w:vAlign w:val="bottom"/>
            <w:hideMark/>
          </w:tcPr>
          <w:p w14:paraId="5160723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78.7%</w:t>
            </w:r>
          </w:p>
        </w:tc>
        <w:tc>
          <w:tcPr>
            <w:tcW w:w="1300" w:type="dxa"/>
            <w:tcBorders>
              <w:top w:val="nil"/>
              <w:left w:val="nil"/>
              <w:bottom w:val="nil"/>
              <w:right w:val="nil"/>
            </w:tcBorders>
            <w:shd w:val="clear" w:color="auto" w:fill="auto"/>
            <w:noWrap/>
            <w:vAlign w:val="bottom"/>
            <w:hideMark/>
          </w:tcPr>
          <w:p w14:paraId="7C0BAC8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194</w:t>
            </w:r>
          </w:p>
        </w:tc>
        <w:tc>
          <w:tcPr>
            <w:tcW w:w="1300" w:type="dxa"/>
            <w:tcBorders>
              <w:top w:val="nil"/>
              <w:left w:val="nil"/>
              <w:bottom w:val="nil"/>
              <w:right w:val="nil"/>
            </w:tcBorders>
            <w:shd w:val="clear" w:color="auto" w:fill="auto"/>
            <w:noWrap/>
            <w:vAlign w:val="bottom"/>
            <w:hideMark/>
          </w:tcPr>
          <w:p w14:paraId="66E7C35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0.55</w:t>
            </w:r>
          </w:p>
        </w:tc>
        <w:tc>
          <w:tcPr>
            <w:tcW w:w="1300" w:type="dxa"/>
            <w:tcBorders>
              <w:top w:val="nil"/>
              <w:left w:val="nil"/>
              <w:bottom w:val="nil"/>
              <w:right w:val="nil"/>
            </w:tcBorders>
            <w:shd w:val="clear" w:color="auto" w:fill="auto"/>
            <w:noWrap/>
            <w:vAlign w:val="bottom"/>
            <w:hideMark/>
          </w:tcPr>
          <w:p w14:paraId="643DAEE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310</w:t>
            </w:r>
          </w:p>
        </w:tc>
        <w:tc>
          <w:tcPr>
            <w:tcW w:w="1300" w:type="dxa"/>
            <w:tcBorders>
              <w:top w:val="nil"/>
              <w:left w:val="nil"/>
              <w:bottom w:val="nil"/>
              <w:right w:val="nil"/>
            </w:tcBorders>
            <w:shd w:val="clear" w:color="auto" w:fill="auto"/>
            <w:noWrap/>
            <w:vAlign w:val="bottom"/>
            <w:hideMark/>
          </w:tcPr>
          <w:p w14:paraId="2D6BCD0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0.88</w:t>
            </w:r>
          </w:p>
        </w:tc>
        <w:tc>
          <w:tcPr>
            <w:tcW w:w="1300" w:type="dxa"/>
            <w:tcBorders>
              <w:top w:val="nil"/>
              <w:left w:val="nil"/>
              <w:bottom w:val="nil"/>
              <w:right w:val="nil"/>
            </w:tcBorders>
            <w:shd w:val="clear" w:color="auto" w:fill="auto"/>
            <w:noWrap/>
            <w:vAlign w:val="bottom"/>
            <w:hideMark/>
          </w:tcPr>
          <w:p w14:paraId="1BA4673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50</w:t>
            </w:r>
          </w:p>
        </w:tc>
        <w:tc>
          <w:tcPr>
            <w:tcW w:w="1300" w:type="dxa"/>
            <w:tcBorders>
              <w:top w:val="nil"/>
              <w:left w:val="nil"/>
              <w:bottom w:val="nil"/>
              <w:right w:val="nil"/>
            </w:tcBorders>
            <w:shd w:val="clear" w:color="auto" w:fill="auto"/>
            <w:noWrap/>
            <w:vAlign w:val="bottom"/>
            <w:hideMark/>
          </w:tcPr>
          <w:p w14:paraId="0D18B09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0.14</w:t>
            </w:r>
          </w:p>
        </w:tc>
        <w:tc>
          <w:tcPr>
            <w:tcW w:w="1300" w:type="dxa"/>
            <w:tcBorders>
              <w:top w:val="nil"/>
              <w:left w:val="nil"/>
              <w:bottom w:val="nil"/>
              <w:right w:val="nil"/>
            </w:tcBorders>
            <w:shd w:val="clear" w:color="auto" w:fill="auto"/>
            <w:noWrap/>
            <w:vAlign w:val="bottom"/>
            <w:hideMark/>
          </w:tcPr>
          <w:p w14:paraId="073BD4F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504</w:t>
            </w:r>
          </w:p>
        </w:tc>
        <w:tc>
          <w:tcPr>
            <w:tcW w:w="1300" w:type="dxa"/>
            <w:tcBorders>
              <w:top w:val="nil"/>
              <w:left w:val="nil"/>
              <w:bottom w:val="nil"/>
              <w:right w:val="nil"/>
            </w:tcBorders>
            <w:shd w:val="clear" w:color="auto" w:fill="auto"/>
            <w:noWrap/>
            <w:vAlign w:val="bottom"/>
            <w:hideMark/>
          </w:tcPr>
          <w:p w14:paraId="1D6508F4"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1.44</w:t>
            </w:r>
          </w:p>
        </w:tc>
      </w:tr>
      <w:tr w:rsidR="00AC3513" w:rsidRPr="00AC72BF" w14:paraId="5C324612" w14:textId="77777777" w:rsidTr="00265DE9">
        <w:trPr>
          <w:trHeight w:val="300"/>
        </w:trPr>
        <w:tc>
          <w:tcPr>
            <w:tcW w:w="1657" w:type="dxa"/>
            <w:tcBorders>
              <w:top w:val="nil"/>
              <w:left w:val="nil"/>
              <w:bottom w:val="nil"/>
              <w:right w:val="nil"/>
            </w:tcBorders>
            <w:shd w:val="clear" w:color="auto" w:fill="auto"/>
            <w:noWrap/>
            <w:vAlign w:val="bottom"/>
            <w:hideMark/>
          </w:tcPr>
          <w:p w14:paraId="731BA09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LFPl</w:t>
            </w:r>
          </w:p>
        </w:tc>
        <w:tc>
          <w:tcPr>
            <w:tcW w:w="943" w:type="dxa"/>
            <w:tcBorders>
              <w:top w:val="nil"/>
              <w:left w:val="nil"/>
              <w:bottom w:val="nil"/>
              <w:right w:val="nil"/>
            </w:tcBorders>
            <w:shd w:val="clear" w:color="auto" w:fill="auto"/>
            <w:noWrap/>
            <w:vAlign w:val="bottom"/>
            <w:hideMark/>
          </w:tcPr>
          <w:p w14:paraId="05ECF94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298</w:t>
            </w:r>
          </w:p>
        </w:tc>
        <w:tc>
          <w:tcPr>
            <w:tcW w:w="1300" w:type="dxa"/>
            <w:tcBorders>
              <w:top w:val="nil"/>
              <w:left w:val="nil"/>
              <w:bottom w:val="nil"/>
              <w:right w:val="nil"/>
            </w:tcBorders>
            <w:shd w:val="clear" w:color="auto" w:fill="auto"/>
            <w:noWrap/>
            <w:vAlign w:val="bottom"/>
            <w:hideMark/>
          </w:tcPr>
          <w:p w14:paraId="6F230D3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82.8%</w:t>
            </w:r>
          </w:p>
        </w:tc>
        <w:tc>
          <w:tcPr>
            <w:tcW w:w="1300" w:type="dxa"/>
            <w:tcBorders>
              <w:top w:val="nil"/>
              <w:left w:val="nil"/>
              <w:bottom w:val="nil"/>
              <w:right w:val="nil"/>
            </w:tcBorders>
            <w:shd w:val="clear" w:color="auto" w:fill="auto"/>
            <w:noWrap/>
            <w:vAlign w:val="bottom"/>
            <w:hideMark/>
          </w:tcPr>
          <w:p w14:paraId="2EBE4E8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211</w:t>
            </w:r>
          </w:p>
        </w:tc>
        <w:tc>
          <w:tcPr>
            <w:tcW w:w="1300" w:type="dxa"/>
            <w:tcBorders>
              <w:top w:val="nil"/>
              <w:left w:val="nil"/>
              <w:bottom w:val="nil"/>
              <w:right w:val="nil"/>
            </w:tcBorders>
            <w:shd w:val="clear" w:color="auto" w:fill="auto"/>
            <w:noWrap/>
            <w:vAlign w:val="bottom"/>
            <w:hideMark/>
          </w:tcPr>
          <w:p w14:paraId="55D71AD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0.71</w:t>
            </w:r>
          </w:p>
        </w:tc>
        <w:tc>
          <w:tcPr>
            <w:tcW w:w="1300" w:type="dxa"/>
            <w:tcBorders>
              <w:top w:val="nil"/>
              <w:left w:val="nil"/>
              <w:bottom w:val="nil"/>
              <w:right w:val="nil"/>
            </w:tcBorders>
            <w:shd w:val="clear" w:color="auto" w:fill="auto"/>
            <w:noWrap/>
            <w:vAlign w:val="bottom"/>
            <w:hideMark/>
          </w:tcPr>
          <w:p w14:paraId="382E3BE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323</w:t>
            </w:r>
          </w:p>
        </w:tc>
        <w:tc>
          <w:tcPr>
            <w:tcW w:w="1300" w:type="dxa"/>
            <w:tcBorders>
              <w:top w:val="nil"/>
              <w:left w:val="nil"/>
              <w:bottom w:val="nil"/>
              <w:right w:val="nil"/>
            </w:tcBorders>
            <w:shd w:val="clear" w:color="auto" w:fill="auto"/>
            <w:noWrap/>
            <w:vAlign w:val="bottom"/>
            <w:hideMark/>
          </w:tcPr>
          <w:p w14:paraId="60BC8F1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1.08</w:t>
            </w:r>
          </w:p>
        </w:tc>
        <w:tc>
          <w:tcPr>
            <w:tcW w:w="1300" w:type="dxa"/>
            <w:tcBorders>
              <w:top w:val="nil"/>
              <w:left w:val="nil"/>
              <w:bottom w:val="nil"/>
              <w:right w:val="nil"/>
            </w:tcBorders>
            <w:shd w:val="clear" w:color="auto" w:fill="auto"/>
            <w:noWrap/>
            <w:vAlign w:val="bottom"/>
            <w:hideMark/>
          </w:tcPr>
          <w:p w14:paraId="3CCA497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80</w:t>
            </w:r>
          </w:p>
        </w:tc>
        <w:tc>
          <w:tcPr>
            <w:tcW w:w="1300" w:type="dxa"/>
            <w:tcBorders>
              <w:top w:val="nil"/>
              <w:left w:val="nil"/>
              <w:bottom w:val="nil"/>
              <w:right w:val="nil"/>
            </w:tcBorders>
            <w:shd w:val="clear" w:color="auto" w:fill="auto"/>
            <w:noWrap/>
            <w:vAlign w:val="bottom"/>
            <w:hideMark/>
          </w:tcPr>
          <w:p w14:paraId="3771011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0.27</w:t>
            </w:r>
          </w:p>
        </w:tc>
        <w:tc>
          <w:tcPr>
            <w:tcW w:w="1300" w:type="dxa"/>
            <w:tcBorders>
              <w:top w:val="nil"/>
              <w:left w:val="nil"/>
              <w:bottom w:val="nil"/>
              <w:right w:val="nil"/>
            </w:tcBorders>
            <w:shd w:val="clear" w:color="auto" w:fill="auto"/>
            <w:noWrap/>
            <w:vAlign w:val="bottom"/>
            <w:hideMark/>
          </w:tcPr>
          <w:p w14:paraId="0544C02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534</w:t>
            </w:r>
          </w:p>
        </w:tc>
        <w:tc>
          <w:tcPr>
            <w:tcW w:w="1300" w:type="dxa"/>
            <w:tcBorders>
              <w:top w:val="nil"/>
              <w:left w:val="nil"/>
              <w:bottom w:val="nil"/>
              <w:right w:val="nil"/>
            </w:tcBorders>
            <w:shd w:val="clear" w:color="auto" w:fill="auto"/>
            <w:noWrap/>
            <w:vAlign w:val="bottom"/>
            <w:hideMark/>
          </w:tcPr>
          <w:p w14:paraId="398C735B"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1.79</w:t>
            </w:r>
          </w:p>
        </w:tc>
      </w:tr>
    </w:tbl>
    <w:p w14:paraId="0FB6FC7B" w14:textId="77777777" w:rsidR="00AC3513" w:rsidRPr="00AC72BF" w:rsidRDefault="00AC3513" w:rsidP="00AC3513">
      <w:pPr>
        <w:spacing w:after="0" w:line="360" w:lineRule="auto"/>
        <w:jc w:val="both"/>
        <w:rPr>
          <w:rFonts w:ascii="Times New Roman" w:hAnsi="Times New Roman"/>
          <w:b/>
          <w:bCs/>
          <w:sz w:val="24"/>
          <w:szCs w:val="24"/>
          <w:lang w:val="en-GB"/>
        </w:rPr>
      </w:pPr>
    </w:p>
    <w:p w14:paraId="7A00A949"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Times New Roman" w:hAnsi="Times New Roman"/>
          <w:b/>
          <w:bCs/>
          <w:noProof/>
          <w:sz w:val="24"/>
          <w:szCs w:val="24"/>
          <w:lang w:eastAsia="cs-CZ"/>
        </w:rPr>
        <w:lastRenderedPageBreak/>
        <w:drawing>
          <wp:inline distT="0" distB="0" distL="0" distR="0" wp14:anchorId="4F38D2E4" wp14:editId="51FF4AC5">
            <wp:extent cx="6400800" cy="4114800"/>
            <wp:effectExtent l="0" t="0" r="0" b="0"/>
            <wp:docPr id="36" name="Picture 36" descr="beiliegend die unterschriebene:Dokumente:2020 Charles University:Statistics:Documents to work with:Individual reports:FORD comparson:ford_clinical_medic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iliegend die unterschriebene:Dokumente:2020 Charles University:Statistics:Documents to work with:Individual reports:FORD comparson:ford_clinical_medicine.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tbl>
      <w:tblPr>
        <w:tblW w:w="13000" w:type="dxa"/>
        <w:tblInd w:w="93" w:type="dxa"/>
        <w:tblLook w:val="04A0" w:firstRow="1" w:lastRow="0" w:firstColumn="1" w:lastColumn="0" w:noHBand="0" w:noVBand="1"/>
      </w:tblPr>
      <w:tblGrid>
        <w:gridCol w:w="1206"/>
        <w:gridCol w:w="1347"/>
        <w:gridCol w:w="1347"/>
        <w:gridCol w:w="1300"/>
        <w:gridCol w:w="1300"/>
        <w:gridCol w:w="1300"/>
        <w:gridCol w:w="1300"/>
        <w:gridCol w:w="1300"/>
        <w:gridCol w:w="1300"/>
        <w:gridCol w:w="1300"/>
      </w:tblGrid>
      <w:tr w:rsidR="00AC3513" w:rsidRPr="00A03996" w14:paraId="20CD50D6" w14:textId="77777777" w:rsidTr="00265DE9">
        <w:trPr>
          <w:trHeight w:val="300"/>
        </w:trPr>
        <w:tc>
          <w:tcPr>
            <w:tcW w:w="3900" w:type="dxa"/>
            <w:gridSpan w:val="3"/>
            <w:tcBorders>
              <w:top w:val="nil"/>
              <w:left w:val="nil"/>
              <w:bottom w:val="nil"/>
              <w:right w:val="nil"/>
            </w:tcBorders>
            <w:shd w:val="clear" w:color="auto" w:fill="auto"/>
            <w:noWrap/>
            <w:vAlign w:val="bottom"/>
            <w:hideMark/>
          </w:tcPr>
          <w:p w14:paraId="61AE2D17"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Clinical Medicine</w:t>
            </w:r>
          </w:p>
        </w:tc>
        <w:tc>
          <w:tcPr>
            <w:tcW w:w="1300" w:type="dxa"/>
            <w:tcBorders>
              <w:top w:val="nil"/>
              <w:left w:val="nil"/>
              <w:bottom w:val="nil"/>
              <w:right w:val="nil"/>
            </w:tcBorders>
            <w:shd w:val="clear" w:color="auto" w:fill="auto"/>
            <w:noWrap/>
            <w:vAlign w:val="bottom"/>
            <w:hideMark/>
          </w:tcPr>
          <w:p w14:paraId="7204B81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3A16A03F"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10E67BB"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0AE386A"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6B71F49"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A38193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52B7FA8"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14249A24" w14:textId="77777777" w:rsidTr="00265DE9">
        <w:trPr>
          <w:trHeight w:val="300"/>
        </w:trPr>
        <w:tc>
          <w:tcPr>
            <w:tcW w:w="1206" w:type="dxa"/>
            <w:tcBorders>
              <w:top w:val="nil"/>
              <w:left w:val="nil"/>
              <w:bottom w:val="nil"/>
              <w:right w:val="nil"/>
            </w:tcBorders>
            <w:shd w:val="clear" w:color="auto" w:fill="auto"/>
            <w:noWrap/>
            <w:vAlign w:val="bottom"/>
            <w:hideMark/>
          </w:tcPr>
          <w:p w14:paraId="7FA2DE8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1347" w:type="dxa"/>
            <w:tcBorders>
              <w:top w:val="nil"/>
              <w:left w:val="nil"/>
              <w:bottom w:val="nil"/>
              <w:right w:val="nil"/>
            </w:tcBorders>
            <w:shd w:val="clear" w:color="auto" w:fill="auto"/>
            <w:noWrap/>
            <w:vAlign w:val="bottom"/>
            <w:hideMark/>
          </w:tcPr>
          <w:p w14:paraId="263F06FB"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347" w:type="dxa"/>
            <w:tcBorders>
              <w:top w:val="nil"/>
              <w:left w:val="nil"/>
              <w:bottom w:val="nil"/>
              <w:right w:val="nil"/>
            </w:tcBorders>
            <w:shd w:val="clear" w:color="auto" w:fill="auto"/>
            <w:noWrap/>
            <w:vAlign w:val="bottom"/>
            <w:hideMark/>
          </w:tcPr>
          <w:p w14:paraId="5AFB986F"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0113BE95"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6D830EF3"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57E182A7"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015E2826"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1436E75D"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9569F0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2B20608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00BF81E5" w14:textId="77777777" w:rsidTr="00265DE9">
        <w:trPr>
          <w:trHeight w:val="300"/>
        </w:trPr>
        <w:tc>
          <w:tcPr>
            <w:tcW w:w="1206" w:type="dxa"/>
            <w:tcBorders>
              <w:top w:val="nil"/>
              <w:left w:val="nil"/>
              <w:bottom w:val="nil"/>
              <w:right w:val="nil"/>
            </w:tcBorders>
            <w:shd w:val="clear" w:color="auto" w:fill="auto"/>
            <w:noWrap/>
            <w:vAlign w:val="bottom"/>
            <w:hideMark/>
          </w:tcPr>
          <w:p w14:paraId="5B3A068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1347" w:type="dxa"/>
            <w:tcBorders>
              <w:top w:val="nil"/>
              <w:left w:val="nil"/>
              <w:bottom w:val="nil"/>
              <w:right w:val="nil"/>
            </w:tcBorders>
            <w:shd w:val="clear" w:color="auto" w:fill="auto"/>
            <w:noWrap/>
            <w:vAlign w:val="bottom"/>
            <w:hideMark/>
          </w:tcPr>
          <w:p w14:paraId="5C19F22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1,005</w:t>
            </w:r>
          </w:p>
        </w:tc>
        <w:tc>
          <w:tcPr>
            <w:tcW w:w="1347" w:type="dxa"/>
            <w:tcBorders>
              <w:top w:val="nil"/>
              <w:left w:val="nil"/>
              <w:bottom w:val="nil"/>
              <w:right w:val="nil"/>
            </w:tcBorders>
            <w:shd w:val="clear" w:color="auto" w:fill="auto"/>
            <w:noWrap/>
            <w:vAlign w:val="bottom"/>
            <w:hideMark/>
          </w:tcPr>
          <w:p w14:paraId="6A6C8B4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1,072</w:t>
            </w:r>
          </w:p>
        </w:tc>
        <w:tc>
          <w:tcPr>
            <w:tcW w:w="1300" w:type="dxa"/>
            <w:tcBorders>
              <w:top w:val="nil"/>
              <w:left w:val="nil"/>
              <w:bottom w:val="nil"/>
              <w:right w:val="nil"/>
            </w:tcBorders>
            <w:shd w:val="clear" w:color="auto" w:fill="auto"/>
            <w:noWrap/>
            <w:vAlign w:val="bottom"/>
            <w:hideMark/>
          </w:tcPr>
          <w:p w14:paraId="61270D7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1.07</w:t>
            </w:r>
          </w:p>
        </w:tc>
        <w:tc>
          <w:tcPr>
            <w:tcW w:w="1300" w:type="dxa"/>
            <w:tcBorders>
              <w:top w:val="nil"/>
              <w:left w:val="nil"/>
              <w:bottom w:val="nil"/>
              <w:right w:val="nil"/>
            </w:tcBorders>
            <w:shd w:val="clear" w:color="auto" w:fill="auto"/>
            <w:noWrap/>
            <w:vAlign w:val="bottom"/>
            <w:hideMark/>
          </w:tcPr>
          <w:p w14:paraId="323C415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698</w:t>
            </w:r>
          </w:p>
        </w:tc>
        <w:tc>
          <w:tcPr>
            <w:tcW w:w="1300" w:type="dxa"/>
            <w:tcBorders>
              <w:top w:val="nil"/>
              <w:left w:val="nil"/>
              <w:bottom w:val="nil"/>
              <w:right w:val="nil"/>
            </w:tcBorders>
            <w:shd w:val="clear" w:color="auto" w:fill="auto"/>
            <w:noWrap/>
            <w:vAlign w:val="bottom"/>
            <w:hideMark/>
          </w:tcPr>
          <w:p w14:paraId="4CA32F1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0.69</w:t>
            </w:r>
          </w:p>
        </w:tc>
        <w:tc>
          <w:tcPr>
            <w:tcW w:w="1300" w:type="dxa"/>
            <w:tcBorders>
              <w:top w:val="nil"/>
              <w:left w:val="nil"/>
              <w:bottom w:val="nil"/>
              <w:right w:val="nil"/>
            </w:tcBorders>
            <w:shd w:val="clear" w:color="auto" w:fill="auto"/>
            <w:noWrap/>
            <w:vAlign w:val="bottom"/>
            <w:hideMark/>
          </w:tcPr>
          <w:p w14:paraId="2B51B38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330</w:t>
            </w:r>
          </w:p>
        </w:tc>
        <w:tc>
          <w:tcPr>
            <w:tcW w:w="1300" w:type="dxa"/>
            <w:tcBorders>
              <w:top w:val="nil"/>
              <w:left w:val="nil"/>
              <w:bottom w:val="nil"/>
              <w:right w:val="nil"/>
            </w:tcBorders>
            <w:shd w:val="clear" w:color="auto" w:fill="auto"/>
            <w:noWrap/>
            <w:vAlign w:val="bottom"/>
            <w:hideMark/>
          </w:tcPr>
          <w:p w14:paraId="78615B1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0.33</w:t>
            </w:r>
          </w:p>
        </w:tc>
        <w:tc>
          <w:tcPr>
            <w:tcW w:w="1300" w:type="dxa"/>
            <w:tcBorders>
              <w:top w:val="nil"/>
              <w:left w:val="nil"/>
              <w:bottom w:val="nil"/>
              <w:right w:val="nil"/>
            </w:tcBorders>
            <w:shd w:val="clear" w:color="auto" w:fill="auto"/>
            <w:noWrap/>
            <w:vAlign w:val="bottom"/>
            <w:hideMark/>
          </w:tcPr>
          <w:p w14:paraId="49F1919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1,770</w:t>
            </w:r>
          </w:p>
        </w:tc>
        <w:tc>
          <w:tcPr>
            <w:tcW w:w="1300" w:type="dxa"/>
            <w:tcBorders>
              <w:top w:val="nil"/>
              <w:left w:val="nil"/>
              <w:bottom w:val="nil"/>
              <w:right w:val="nil"/>
            </w:tcBorders>
            <w:shd w:val="clear" w:color="auto" w:fill="auto"/>
            <w:noWrap/>
            <w:vAlign w:val="bottom"/>
            <w:hideMark/>
          </w:tcPr>
          <w:p w14:paraId="536C673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1.76</w:t>
            </w:r>
          </w:p>
        </w:tc>
      </w:tr>
      <w:tr w:rsidR="00AC3513" w:rsidRPr="00A03996" w14:paraId="2A9413DC" w14:textId="77777777" w:rsidTr="00265DE9">
        <w:trPr>
          <w:trHeight w:val="300"/>
        </w:trPr>
        <w:tc>
          <w:tcPr>
            <w:tcW w:w="1206" w:type="dxa"/>
            <w:tcBorders>
              <w:top w:val="nil"/>
              <w:left w:val="nil"/>
              <w:bottom w:val="nil"/>
              <w:right w:val="nil"/>
            </w:tcBorders>
            <w:shd w:val="clear" w:color="auto" w:fill="auto"/>
            <w:noWrap/>
            <w:vAlign w:val="bottom"/>
            <w:hideMark/>
          </w:tcPr>
          <w:p w14:paraId="4DE6DF6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1347" w:type="dxa"/>
            <w:tcBorders>
              <w:top w:val="nil"/>
              <w:left w:val="nil"/>
              <w:bottom w:val="nil"/>
              <w:right w:val="nil"/>
            </w:tcBorders>
            <w:shd w:val="clear" w:color="auto" w:fill="auto"/>
            <w:noWrap/>
            <w:vAlign w:val="bottom"/>
            <w:hideMark/>
          </w:tcPr>
          <w:p w14:paraId="2D15F2A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523</w:t>
            </w:r>
          </w:p>
        </w:tc>
        <w:tc>
          <w:tcPr>
            <w:tcW w:w="1347" w:type="dxa"/>
            <w:tcBorders>
              <w:top w:val="nil"/>
              <w:left w:val="nil"/>
              <w:bottom w:val="nil"/>
              <w:right w:val="nil"/>
            </w:tcBorders>
            <w:shd w:val="clear" w:color="auto" w:fill="auto"/>
            <w:noWrap/>
            <w:vAlign w:val="bottom"/>
            <w:hideMark/>
          </w:tcPr>
          <w:p w14:paraId="3E0B9DE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626</w:t>
            </w:r>
          </w:p>
        </w:tc>
        <w:tc>
          <w:tcPr>
            <w:tcW w:w="1300" w:type="dxa"/>
            <w:tcBorders>
              <w:top w:val="nil"/>
              <w:left w:val="nil"/>
              <w:bottom w:val="nil"/>
              <w:right w:val="nil"/>
            </w:tcBorders>
            <w:shd w:val="clear" w:color="auto" w:fill="auto"/>
            <w:noWrap/>
            <w:vAlign w:val="bottom"/>
            <w:hideMark/>
          </w:tcPr>
          <w:p w14:paraId="5EB4A21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1.20</w:t>
            </w:r>
          </w:p>
        </w:tc>
        <w:tc>
          <w:tcPr>
            <w:tcW w:w="1300" w:type="dxa"/>
            <w:tcBorders>
              <w:top w:val="nil"/>
              <w:left w:val="nil"/>
              <w:bottom w:val="nil"/>
              <w:right w:val="nil"/>
            </w:tcBorders>
            <w:shd w:val="clear" w:color="auto" w:fill="auto"/>
            <w:noWrap/>
            <w:vAlign w:val="bottom"/>
            <w:hideMark/>
          </w:tcPr>
          <w:p w14:paraId="52BA648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373</w:t>
            </w:r>
          </w:p>
        </w:tc>
        <w:tc>
          <w:tcPr>
            <w:tcW w:w="1300" w:type="dxa"/>
            <w:tcBorders>
              <w:top w:val="nil"/>
              <w:left w:val="nil"/>
              <w:bottom w:val="nil"/>
              <w:right w:val="nil"/>
            </w:tcBorders>
            <w:shd w:val="clear" w:color="auto" w:fill="auto"/>
            <w:noWrap/>
            <w:vAlign w:val="bottom"/>
            <w:hideMark/>
          </w:tcPr>
          <w:p w14:paraId="53AE8C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0.71</w:t>
            </w:r>
          </w:p>
        </w:tc>
        <w:tc>
          <w:tcPr>
            <w:tcW w:w="1300" w:type="dxa"/>
            <w:tcBorders>
              <w:top w:val="nil"/>
              <w:left w:val="nil"/>
              <w:bottom w:val="nil"/>
              <w:right w:val="nil"/>
            </w:tcBorders>
            <w:shd w:val="clear" w:color="auto" w:fill="auto"/>
            <w:noWrap/>
            <w:vAlign w:val="bottom"/>
            <w:hideMark/>
          </w:tcPr>
          <w:p w14:paraId="6A4334C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203</w:t>
            </w:r>
          </w:p>
        </w:tc>
        <w:tc>
          <w:tcPr>
            <w:tcW w:w="1300" w:type="dxa"/>
            <w:tcBorders>
              <w:top w:val="nil"/>
              <w:left w:val="nil"/>
              <w:bottom w:val="nil"/>
              <w:right w:val="nil"/>
            </w:tcBorders>
            <w:shd w:val="clear" w:color="auto" w:fill="auto"/>
            <w:noWrap/>
            <w:vAlign w:val="bottom"/>
            <w:hideMark/>
          </w:tcPr>
          <w:p w14:paraId="2F4C2E6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0.39</w:t>
            </w:r>
          </w:p>
        </w:tc>
        <w:tc>
          <w:tcPr>
            <w:tcW w:w="1300" w:type="dxa"/>
            <w:tcBorders>
              <w:top w:val="nil"/>
              <w:left w:val="nil"/>
              <w:bottom w:val="nil"/>
              <w:right w:val="nil"/>
            </w:tcBorders>
            <w:shd w:val="clear" w:color="auto" w:fill="auto"/>
            <w:noWrap/>
            <w:vAlign w:val="bottom"/>
            <w:hideMark/>
          </w:tcPr>
          <w:p w14:paraId="189DE2A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999</w:t>
            </w:r>
          </w:p>
        </w:tc>
        <w:tc>
          <w:tcPr>
            <w:tcW w:w="1300" w:type="dxa"/>
            <w:tcBorders>
              <w:top w:val="nil"/>
              <w:left w:val="nil"/>
              <w:bottom w:val="nil"/>
              <w:right w:val="nil"/>
            </w:tcBorders>
            <w:shd w:val="clear" w:color="auto" w:fill="auto"/>
            <w:noWrap/>
            <w:vAlign w:val="bottom"/>
            <w:hideMark/>
          </w:tcPr>
          <w:p w14:paraId="7C0D70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1.91</w:t>
            </w:r>
          </w:p>
        </w:tc>
      </w:tr>
      <w:tr w:rsidR="00AC3513" w:rsidRPr="00A03996" w14:paraId="7E0C45EE" w14:textId="77777777" w:rsidTr="00265DE9">
        <w:trPr>
          <w:trHeight w:val="300"/>
        </w:trPr>
        <w:tc>
          <w:tcPr>
            <w:tcW w:w="1206" w:type="dxa"/>
            <w:tcBorders>
              <w:top w:val="nil"/>
              <w:left w:val="nil"/>
              <w:bottom w:val="nil"/>
              <w:right w:val="nil"/>
            </w:tcBorders>
            <w:shd w:val="clear" w:color="auto" w:fill="auto"/>
            <w:noWrap/>
            <w:vAlign w:val="bottom"/>
            <w:hideMark/>
          </w:tcPr>
          <w:p w14:paraId="0DCA9F4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3.LF</w:t>
            </w:r>
          </w:p>
        </w:tc>
        <w:tc>
          <w:tcPr>
            <w:tcW w:w="1347" w:type="dxa"/>
            <w:tcBorders>
              <w:top w:val="nil"/>
              <w:left w:val="nil"/>
              <w:bottom w:val="nil"/>
              <w:right w:val="nil"/>
            </w:tcBorders>
            <w:shd w:val="clear" w:color="auto" w:fill="auto"/>
            <w:noWrap/>
            <w:vAlign w:val="bottom"/>
            <w:hideMark/>
          </w:tcPr>
          <w:p w14:paraId="314D8E7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438</w:t>
            </w:r>
          </w:p>
        </w:tc>
        <w:tc>
          <w:tcPr>
            <w:tcW w:w="1347" w:type="dxa"/>
            <w:tcBorders>
              <w:top w:val="nil"/>
              <w:left w:val="nil"/>
              <w:bottom w:val="nil"/>
              <w:right w:val="nil"/>
            </w:tcBorders>
            <w:shd w:val="clear" w:color="auto" w:fill="auto"/>
            <w:noWrap/>
            <w:vAlign w:val="bottom"/>
            <w:hideMark/>
          </w:tcPr>
          <w:p w14:paraId="075FF22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386</w:t>
            </w:r>
          </w:p>
        </w:tc>
        <w:tc>
          <w:tcPr>
            <w:tcW w:w="1300" w:type="dxa"/>
            <w:tcBorders>
              <w:top w:val="nil"/>
              <w:left w:val="nil"/>
              <w:bottom w:val="nil"/>
              <w:right w:val="nil"/>
            </w:tcBorders>
            <w:shd w:val="clear" w:color="auto" w:fill="auto"/>
            <w:noWrap/>
            <w:vAlign w:val="bottom"/>
            <w:hideMark/>
          </w:tcPr>
          <w:p w14:paraId="06D9AA7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0.88</w:t>
            </w:r>
          </w:p>
        </w:tc>
        <w:tc>
          <w:tcPr>
            <w:tcW w:w="1300" w:type="dxa"/>
            <w:tcBorders>
              <w:top w:val="nil"/>
              <w:left w:val="nil"/>
              <w:bottom w:val="nil"/>
              <w:right w:val="nil"/>
            </w:tcBorders>
            <w:shd w:val="clear" w:color="auto" w:fill="auto"/>
            <w:noWrap/>
            <w:vAlign w:val="bottom"/>
            <w:hideMark/>
          </w:tcPr>
          <w:p w14:paraId="676D917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324</w:t>
            </w:r>
          </w:p>
        </w:tc>
        <w:tc>
          <w:tcPr>
            <w:tcW w:w="1300" w:type="dxa"/>
            <w:tcBorders>
              <w:top w:val="nil"/>
              <w:left w:val="nil"/>
              <w:bottom w:val="nil"/>
              <w:right w:val="nil"/>
            </w:tcBorders>
            <w:shd w:val="clear" w:color="auto" w:fill="auto"/>
            <w:noWrap/>
            <w:vAlign w:val="bottom"/>
            <w:hideMark/>
          </w:tcPr>
          <w:p w14:paraId="7171595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0.74</w:t>
            </w:r>
          </w:p>
        </w:tc>
        <w:tc>
          <w:tcPr>
            <w:tcW w:w="1300" w:type="dxa"/>
            <w:tcBorders>
              <w:top w:val="nil"/>
              <w:left w:val="nil"/>
              <w:bottom w:val="nil"/>
              <w:right w:val="nil"/>
            </w:tcBorders>
            <w:shd w:val="clear" w:color="auto" w:fill="auto"/>
            <w:noWrap/>
            <w:vAlign w:val="bottom"/>
            <w:hideMark/>
          </w:tcPr>
          <w:p w14:paraId="247D4EC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102</w:t>
            </w:r>
          </w:p>
        </w:tc>
        <w:tc>
          <w:tcPr>
            <w:tcW w:w="1300" w:type="dxa"/>
            <w:tcBorders>
              <w:top w:val="nil"/>
              <w:left w:val="nil"/>
              <w:bottom w:val="nil"/>
              <w:right w:val="nil"/>
            </w:tcBorders>
            <w:shd w:val="clear" w:color="auto" w:fill="auto"/>
            <w:noWrap/>
            <w:vAlign w:val="bottom"/>
            <w:hideMark/>
          </w:tcPr>
          <w:p w14:paraId="7643D89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0.23</w:t>
            </w:r>
          </w:p>
        </w:tc>
        <w:tc>
          <w:tcPr>
            <w:tcW w:w="1300" w:type="dxa"/>
            <w:tcBorders>
              <w:top w:val="nil"/>
              <w:left w:val="nil"/>
              <w:bottom w:val="nil"/>
              <w:right w:val="nil"/>
            </w:tcBorders>
            <w:shd w:val="clear" w:color="auto" w:fill="auto"/>
            <w:noWrap/>
            <w:vAlign w:val="bottom"/>
            <w:hideMark/>
          </w:tcPr>
          <w:p w14:paraId="23DA2BA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710</w:t>
            </w:r>
          </w:p>
        </w:tc>
        <w:tc>
          <w:tcPr>
            <w:tcW w:w="1300" w:type="dxa"/>
            <w:tcBorders>
              <w:top w:val="nil"/>
              <w:left w:val="nil"/>
              <w:bottom w:val="nil"/>
              <w:right w:val="nil"/>
            </w:tcBorders>
            <w:shd w:val="clear" w:color="auto" w:fill="auto"/>
            <w:noWrap/>
            <w:vAlign w:val="bottom"/>
            <w:hideMark/>
          </w:tcPr>
          <w:p w14:paraId="03CA2C2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1.62</w:t>
            </w:r>
          </w:p>
        </w:tc>
      </w:tr>
      <w:tr w:rsidR="00AC3513" w:rsidRPr="00A03996" w14:paraId="5AB5A030" w14:textId="77777777" w:rsidTr="00265DE9">
        <w:trPr>
          <w:trHeight w:val="300"/>
        </w:trPr>
        <w:tc>
          <w:tcPr>
            <w:tcW w:w="1206" w:type="dxa"/>
            <w:tcBorders>
              <w:top w:val="nil"/>
              <w:left w:val="nil"/>
              <w:bottom w:val="nil"/>
              <w:right w:val="nil"/>
            </w:tcBorders>
            <w:shd w:val="clear" w:color="auto" w:fill="auto"/>
            <w:noWrap/>
            <w:vAlign w:val="bottom"/>
            <w:hideMark/>
          </w:tcPr>
          <w:p w14:paraId="37E3A80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FHS</w:t>
            </w:r>
          </w:p>
        </w:tc>
        <w:tc>
          <w:tcPr>
            <w:tcW w:w="1347" w:type="dxa"/>
            <w:tcBorders>
              <w:top w:val="nil"/>
              <w:left w:val="nil"/>
              <w:bottom w:val="nil"/>
              <w:right w:val="nil"/>
            </w:tcBorders>
            <w:shd w:val="clear" w:color="auto" w:fill="auto"/>
            <w:noWrap/>
            <w:vAlign w:val="bottom"/>
            <w:hideMark/>
          </w:tcPr>
          <w:p w14:paraId="33B21C6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w:t>
            </w:r>
          </w:p>
        </w:tc>
        <w:tc>
          <w:tcPr>
            <w:tcW w:w="1347" w:type="dxa"/>
            <w:tcBorders>
              <w:top w:val="nil"/>
              <w:left w:val="nil"/>
              <w:bottom w:val="nil"/>
              <w:right w:val="nil"/>
            </w:tcBorders>
            <w:shd w:val="clear" w:color="auto" w:fill="auto"/>
            <w:noWrap/>
            <w:vAlign w:val="bottom"/>
            <w:hideMark/>
          </w:tcPr>
          <w:p w14:paraId="52F7E7D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w:t>
            </w:r>
          </w:p>
        </w:tc>
        <w:tc>
          <w:tcPr>
            <w:tcW w:w="1300" w:type="dxa"/>
            <w:tcBorders>
              <w:top w:val="nil"/>
              <w:left w:val="nil"/>
              <w:bottom w:val="nil"/>
              <w:right w:val="nil"/>
            </w:tcBorders>
            <w:shd w:val="clear" w:color="auto" w:fill="auto"/>
            <w:noWrap/>
            <w:vAlign w:val="bottom"/>
            <w:hideMark/>
          </w:tcPr>
          <w:p w14:paraId="0B870AB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0.67</w:t>
            </w:r>
          </w:p>
        </w:tc>
        <w:tc>
          <w:tcPr>
            <w:tcW w:w="1300" w:type="dxa"/>
            <w:tcBorders>
              <w:top w:val="nil"/>
              <w:left w:val="nil"/>
              <w:bottom w:val="nil"/>
              <w:right w:val="nil"/>
            </w:tcBorders>
            <w:shd w:val="clear" w:color="auto" w:fill="auto"/>
            <w:noWrap/>
            <w:vAlign w:val="bottom"/>
            <w:hideMark/>
          </w:tcPr>
          <w:p w14:paraId="56B1D00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w:t>
            </w:r>
          </w:p>
        </w:tc>
        <w:tc>
          <w:tcPr>
            <w:tcW w:w="1300" w:type="dxa"/>
            <w:tcBorders>
              <w:top w:val="nil"/>
              <w:left w:val="nil"/>
              <w:bottom w:val="nil"/>
              <w:right w:val="nil"/>
            </w:tcBorders>
            <w:shd w:val="clear" w:color="auto" w:fill="auto"/>
            <w:noWrap/>
            <w:vAlign w:val="bottom"/>
            <w:hideMark/>
          </w:tcPr>
          <w:p w14:paraId="7E85E74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0.34</w:t>
            </w:r>
          </w:p>
        </w:tc>
        <w:tc>
          <w:tcPr>
            <w:tcW w:w="1300" w:type="dxa"/>
            <w:tcBorders>
              <w:top w:val="nil"/>
              <w:left w:val="nil"/>
              <w:bottom w:val="nil"/>
              <w:right w:val="nil"/>
            </w:tcBorders>
            <w:shd w:val="clear" w:color="auto" w:fill="auto"/>
            <w:noWrap/>
            <w:vAlign w:val="bottom"/>
            <w:hideMark/>
          </w:tcPr>
          <w:p w14:paraId="7206164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6E91CEA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0.00</w:t>
            </w:r>
          </w:p>
        </w:tc>
        <w:tc>
          <w:tcPr>
            <w:tcW w:w="1300" w:type="dxa"/>
            <w:tcBorders>
              <w:top w:val="nil"/>
              <w:left w:val="nil"/>
              <w:bottom w:val="nil"/>
              <w:right w:val="nil"/>
            </w:tcBorders>
            <w:shd w:val="clear" w:color="auto" w:fill="auto"/>
            <w:noWrap/>
            <w:vAlign w:val="bottom"/>
            <w:hideMark/>
          </w:tcPr>
          <w:p w14:paraId="6AB1B84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w:t>
            </w:r>
          </w:p>
        </w:tc>
        <w:tc>
          <w:tcPr>
            <w:tcW w:w="1300" w:type="dxa"/>
            <w:tcBorders>
              <w:top w:val="nil"/>
              <w:left w:val="nil"/>
              <w:bottom w:val="nil"/>
              <w:right w:val="nil"/>
            </w:tcBorders>
            <w:shd w:val="clear" w:color="auto" w:fill="auto"/>
            <w:noWrap/>
            <w:vAlign w:val="bottom"/>
            <w:hideMark/>
          </w:tcPr>
          <w:p w14:paraId="3EF867D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1.01</w:t>
            </w:r>
          </w:p>
        </w:tc>
      </w:tr>
      <w:tr w:rsidR="00AC3513" w:rsidRPr="00A03996" w14:paraId="6A0CDC33" w14:textId="77777777" w:rsidTr="00265DE9">
        <w:trPr>
          <w:trHeight w:val="300"/>
        </w:trPr>
        <w:tc>
          <w:tcPr>
            <w:tcW w:w="1206" w:type="dxa"/>
            <w:tcBorders>
              <w:top w:val="nil"/>
              <w:left w:val="nil"/>
              <w:bottom w:val="nil"/>
              <w:right w:val="nil"/>
            </w:tcBorders>
            <w:shd w:val="clear" w:color="auto" w:fill="auto"/>
            <w:noWrap/>
            <w:vAlign w:val="bottom"/>
            <w:hideMark/>
          </w:tcPr>
          <w:p w14:paraId="04CF4AE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1347" w:type="dxa"/>
            <w:tcBorders>
              <w:top w:val="nil"/>
              <w:left w:val="nil"/>
              <w:bottom w:val="nil"/>
              <w:right w:val="nil"/>
            </w:tcBorders>
            <w:shd w:val="clear" w:color="auto" w:fill="auto"/>
            <w:noWrap/>
            <w:vAlign w:val="bottom"/>
            <w:hideMark/>
          </w:tcPr>
          <w:p w14:paraId="1F791DE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394</w:t>
            </w:r>
          </w:p>
        </w:tc>
        <w:tc>
          <w:tcPr>
            <w:tcW w:w="1347" w:type="dxa"/>
            <w:tcBorders>
              <w:top w:val="nil"/>
              <w:left w:val="nil"/>
              <w:bottom w:val="nil"/>
              <w:right w:val="nil"/>
            </w:tcBorders>
            <w:shd w:val="clear" w:color="auto" w:fill="auto"/>
            <w:noWrap/>
            <w:vAlign w:val="bottom"/>
            <w:hideMark/>
          </w:tcPr>
          <w:p w14:paraId="047C807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236</w:t>
            </w:r>
          </w:p>
        </w:tc>
        <w:tc>
          <w:tcPr>
            <w:tcW w:w="1300" w:type="dxa"/>
            <w:tcBorders>
              <w:top w:val="nil"/>
              <w:left w:val="nil"/>
              <w:bottom w:val="nil"/>
              <w:right w:val="nil"/>
            </w:tcBorders>
            <w:shd w:val="clear" w:color="auto" w:fill="auto"/>
            <w:noWrap/>
            <w:vAlign w:val="bottom"/>
            <w:hideMark/>
          </w:tcPr>
          <w:p w14:paraId="3759C18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0.60</w:t>
            </w:r>
          </w:p>
        </w:tc>
        <w:tc>
          <w:tcPr>
            <w:tcW w:w="1300" w:type="dxa"/>
            <w:tcBorders>
              <w:top w:val="nil"/>
              <w:left w:val="nil"/>
              <w:bottom w:val="nil"/>
              <w:right w:val="nil"/>
            </w:tcBorders>
            <w:shd w:val="clear" w:color="auto" w:fill="auto"/>
            <w:noWrap/>
            <w:vAlign w:val="bottom"/>
            <w:hideMark/>
          </w:tcPr>
          <w:p w14:paraId="09633A6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317</w:t>
            </w:r>
          </w:p>
        </w:tc>
        <w:tc>
          <w:tcPr>
            <w:tcW w:w="1300" w:type="dxa"/>
            <w:tcBorders>
              <w:top w:val="nil"/>
              <w:left w:val="nil"/>
              <w:bottom w:val="nil"/>
              <w:right w:val="nil"/>
            </w:tcBorders>
            <w:shd w:val="clear" w:color="auto" w:fill="auto"/>
            <w:noWrap/>
            <w:vAlign w:val="bottom"/>
            <w:hideMark/>
          </w:tcPr>
          <w:p w14:paraId="3EC3744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0.81</w:t>
            </w:r>
          </w:p>
        </w:tc>
        <w:tc>
          <w:tcPr>
            <w:tcW w:w="1300" w:type="dxa"/>
            <w:tcBorders>
              <w:top w:val="nil"/>
              <w:left w:val="nil"/>
              <w:bottom w:val="nil"/>
              <w:right w:val="nil"/>
            </w:tcBorders>
            <w:shd w:val="clear" w:color="auto" w:fill="auto"/>
            <w:noWrap/>
            <w:vAlign w:val="bottom"/>
            <w:hideMark/>
          </w:tcPr>
          <w:p w14:paraId="6B4FB35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65</w:t>
            </w:r>
          </w:p>
        </w:tc>
        <w:tc>
          <w:tcPr>
            <w:tcW w:w="1300" w:type="dxa"/>
            <w:tcBorders>
              <w:top w:val="nil"/>
              <w:left w:val="nil"/>
              <w:bottom w:val="nil"/>
              <w:right w:val="nil"/>
            </w:tcBorders>
            <w:shd w:val="clear" w:color="auto" w:fill="auto"/>
            <w:noWrap/>
            <w:vAlign w:val="bottom"/>
            <w:hideMark/>
          </w:tcPr>
          <w:p w14:paraId="6BA0B0C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0.17</w:t>
            </w:r>
          </w:p>
        </w:tc>
        <w:tc>
          <w:tcPr>
            <w:tcW w:w="1300" w:type="dxa"/>
            <w:tcBorders>
              <w:top w:val="nil"/>
              <w:left w:val="nil"/>
              <w:bottom w:val="nil"/>
              <w:right w:val="nil"/>
            </w:tcBorders>
            <w:shd w:val="clear" w:color="auto" w:fill="auto"/>
            <w:noWrap/>
            <w:vAlign w:val="bottom"/>
            <w:hideMark/>
          </w:tcPr>
          <w:p w14:paraId="0EAAB2E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553</w:t>
            </w:r>
          </w:p>
        </w:tc>
        <w:tc>
          <w:tcPr>
            <w:tcW w:w="1300" w:type="dxa"/>
            <w:tcBorders>
              <w:top w:val="nil"/>
              <w:left w:val="nil"/>
              <w:bottom w:val="nil"/>
              <w:right w:val="nil"/>
            </w:tcBorders>
            <w:shd w:val="clear" w:color="auto" w:fill="auto"/>
            <w:noWrap/>
            <w:vAlign w:val="bottom"/>
            <w:hideMark/>
          </w:tcPr>
          <w:p w14:paraId="459E6EC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1.41</w:t>
            </w:r>
          </w:p>
        </w:tc>
      </w:tr>
      <w:tr w:rsidR="00AC3513" w:rsidRPr="00A03996" w14:paraId="59C51575" w14:textId="77777777" w:rsidTr="00265DE9">
        <w:trPr>
          <w:trHeight w:val="300"/>
        </w:trPr>
        <w:tc>
          <w:tcPr>
            <w:tcW w:w="1206" w:type="dxa"/>
            <w:tcBorders>
              <w:top w:val="nil"/>
              <w:left w:val="nil"/>
              <w:bottom w:val="nil"/>
              <w:right w:val="nil"/>
            </w:tcBorders>
            <w:shd w:val="clear" w:color="auto" w:fill="auto"/>
            <w:noWrap/>
            <w:vAlign w:val="bottom"/>
            <w:hideMark/>
          </w:tcPr>
          <w:p w14:paraId="0A687FC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1347" w:type="dxa"/>
            <w:tcBorders>
              <w:top w:val="nil"/>
              <w:left w:val="nil"/>
              <w:bottom w:val="nil"/>
              <w:right w:val="nil"/>
            </w:tcBorders>
            <w:shd w:val="clear" w:color="auto" w:fill="auto"/>
            <w:noWrap/>
            <w:vAlign w:val="bottom"/>
            <w:hideMark/>
          </w:tcPr>
          <w:p w14:paraId="65FB84D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318</w:t>
            </w:r>
          </w:p>
        </w:tc>
        <w:tc>
          <w:tcPr>
            <w:tcW w:w="1347" w:type="dxa"/>
            <w:tcBorders>
              <w:top w:val="nil"/>
              <w:left w:val="nil"/>
              <w:bottom w:val="nil"/>
              <w:right w:val="nil"/>
            </w:tcBorders>
            <w:shd w:val="clear" w:color="auto" w:fill="auto"/>
            <w:noWrap/>
            <w:vAlign w:val="bottom"/>
            <w:hideMark/>
          </w:tcPr>
          <w:p w14:paraId="7D23C3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202</w:t>
            </w:r>
          </w:p>
        </w:tc>
        <w:tc>
          <w:tcPr>
            <w:tcW w:w="1300" w:type="dxa"/>
            <w:tcBorders>
              <w:top w:val="nil"/>
              <w:left w:val="nil"/>
              <w:bottom w:val="nil"/>
              <w:right w:val="nil"/>
            </w:tcBorders>
            <w:shd w:val="clear" w:color="auto" w:fill="auto"/>
            <w:noWrap/>
            <w:vAlign w:val="bottom"/>
            <w:hideMark/>
          </w:tcPr>
          <w:p w14:paraId="600C596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0.63</w:t>
            </w:r>
          </w:p>
        </w:tc>
        <w:tc>
          <w:tcPr>
            <w:tcW w:w="1300" w:type="dxa"/>
            <w:tcBorders>
              <w:top w:val="nil"/>
              <w:left w:val="nil"/>
              <w:bottom w:val="nil"/>
              <w:right w:val="nil"/>
            </w:tcBorders>
            <w:shd w:val="clear" w:color="auto" w:fill="auto"/>
            <w:noWrap/>
            <w:vAlign w:val="bottom"/>
            <w:hideMark/>
          </w:tcPr>
          <w:p w14:paraId="54CF931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258</w:t>
            </w:r>
          </w:p>
        </w:tc>
        <w:tc>
          <w:tcPr>
            <w:tcW w:w="1300" w:type="dxa"/>
            <w:tcBorders>
              <w:top w:val="nil"/>
              <w:left w:val="nil"/>
              <w:bottom w:val="nil"/>
              <w:right w:val="nil"/>
            </w:tcBorders>
            <w:shd w:val="clear" w:color="auto" w:fill="auto"/>
            <w:noWrap/>
            <w:vAlign w:val="bottom"/>
            <w:hideMark/>
          </w:tcPr>
          <w:p w14:paraId="3A4BF50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0.81</w:t>
            </w:r>
          </w:p>
        </w:tc>
        <w:tc>
          <w:tcPr>
            <w:tcW w:w="1300" w:type="dxa"/>
            <w:tcBorders>
              <w:top w:val="nil"/>
              <w:left w:val="nil"/>
              <w:bottom w:val="nil"/>
              <w:right w:val="nil"/>
            </w:tcBorders>
            <w:shd w:val="clear" w:color="auto" w:fill="auto"/>
            <w:noWrap/>
            <w:vAlign w:val="bottom"/>
            <w:hideMark/>
          </w:tcPr>
          <w:p w14:paraId="0F034B6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w:t>
            </w:r>
          </w:p>
        </w:tc>
        <w:tc>
          <w:tcPr>
            <w:tcW w:w="1300" w:type="dxa"/>
            <w:tcBorders>
              <w:top w:val="nil"/>
              <w:left w:val="nil"/>
              <w:bottom w:val="nil"/>
              <w:right w:val="nil"/>
            </w:tcBorders>
            <w:shd w:val="clear" w:color="auto" w:fill="auto"/>
            <w:noWrap/>
            <w:vAlign w:val="bottom"/>
            <w:hideMark/>
          </w:tcPr>
          <w:p w14:paraId="0C6FB98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0.19</w:t>
            </w:r>
          </w:p>
        </w:tc>
        <w:tc>
          <w:tcPr>
            <w:tcW w:w="1300" w:type="dxa"/>
            <w:tcBorders>
              <w:top w:val="nil"/>
              <w:left w:val="nil"/>
              <w:bottom w:val="nil"/>
              <w:right w:val="nil"/>
            </w:tcBorders>
            <w:shd w:val="clear" w:color="auto" w:fill="auto"/>
            <w:noWrap/>
            <w:vAlign w:val="bottom"/>
            <w:hideMark/>
          </w:tcPr>
          <w:p w14:paraId="352D627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460</w:t>
            </w:r>
          </w:p>
        </w:tc>
        <w:tc>
          <w:tcPr>
            <w:tcW w:w="1300" w:type="dxa"/>
            <w:tcBorders>
              <w:top w:val="nil"/>
              <w:left w:val="nil"/>
              <w:bottom w:val="nil"/>
              <w:right w:val="nil"/>
            </w:tcBorders>
            <w:shd w:val="clear" w:color="auto" w:fill="auto"/>
            <w:noWrap/>
            <w:vAlign w:val="bottom"/>
            <w:hideMark/>
          </w:tcPr>
          <w:p w14:paraId="29270A5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1.45</w:t>
            </w:r>
          </w:p>
        </w:tc>
      </w:tr>
    </w:tbl>
    <w:p w14:paraId="78D4FF85" w14:textId="77777777" w:rsidR="00AC3513" w:rsidRDefault="00AC3513" w:rsidP="00AC3513">
      <w:pPr>
        <w:spacing w:after="0" w:line="360" w:lineRule="auto"/>
        <w:jc w:val="both"/>
        <w:rPr>
          <w:rFonts w:ascii="Times New Roman" w:hAnsi="Times New Roman"/>
          <w:b/>
          <w:bCs/>
          <w:sz w:val="24"/>
          <w:szCs w:val="24"/>
          <w:lang w:val="en-GB"/>
        </w:rPr>
      </w:pPr>
    </w:p>
    <w:p w14:paraId="1E5B7F3D" w14:textId="77777777" w:rsidR="00AC3513" w:rsidRDefault="00AC3513" w:rsidP="00AC3513">
      <w:pPr>
        <w:spacing w:after="0" w:line="360" w:lineRule="auto"/>
        <w:jc w:val="both"/>
        <w:rPr>
          <w:rFonts w:ascii="Times New Roman" w:hAnsi="Times New Roman"/>
          <w:b/>
          <w:bCs/>
          <w:sz w:val="24"/>
          <w:szCs w:val="24"/>
          <w:lang w:val="en-GB"/>
        </w:rPr>
      </w:pPr>
      <w:r w:rsidRPr="00E31BF7">
        <w:rPr>
          <w:rFonts w:ascii="Helvetica" w:hAnsi="Helvetica" w:cs="Helvetica"/>
          <w:noProof/>
          <w:sz w:val="32"/>
          <w:szCs w:val="32"/>
          <w:lang w:eastAsia="cs-CZ"/>
        </w:rPr>
        <w:drawing>
          <wp:inline distT="0" distB="0" distL="0" distR="0" wp14:anchorId="49E44E85" wp14:editId="56A50DD2">
            <wp:extent cx="6400800" cy="4114800"/>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372D0C9F" w14:textId="77777777" w:rsidR="00AC3513" w:rsidRDefault="00AC3513" w:rsidP="00AC3513">
      <w:pPr>
        <w:spacing w:after="0" w:line="360" w:lineRule="auto"/>
        <w:jc w:val="both"/>
        <w:rPr>
          <w:rFonts w:ascii="Times New Roman" w:hAnsi="Times New Roman"/>
          <w:b/>
          <w:bCs/>
          <w:sz w:val="24"/>
          <w:szCs w:val="24"/>
          <w:lang w:val="en-GB"/>
        </w:rPr>
      </w:pPr>
    </w:p>
    <w:p w14:paraId="7430140E" w14:textId="17B87949" w:rsidR="00265DE9" w:rsidRDefault="00265DE9" w:rsidP="00265DE9">
      <w:pPr>
        <w:spacing w:after="0" w:line="360" w:lineRule="auto"/>
        <w:jc w:val="both"/>
        <w:rPr>
          <w:rFonts w:ascii="Times New Roman" w:hAnsi="Times New Roman"/>
          <w:b/>
          <w:bCs/>
          <w:sz w:val="24"/>
          <w:szCs w:val="24"/>
          <w:lang w:val="en-GB"/>
        </w:rPr>
      </w:pPr>
      <w:r w:rsidRPr="00AC72BF">
        <w:rPr>
          <w:rFonts w:ascii="Times New Roman" w:hAnsi="Times New Roman"/>
          <w:b/>
          <w:bCs/>
          <w:sz w:val="24"/>
          <w:szCs w:val="24"/>
          <w:lang w:val="en-GB"/>
        </w:rPr>
        <w:t>For clinical medicine equal distribution of output, except LFHK</w:t>
      </w:r>
      <w:r w:rsidR="009C4A67">
        <w:rPr>
          <w:rFonts w:ascii="Times New Roman" w:hAnsi="Times New Roman"/>
          <w:b/>
          <w:bCs/>
          <w:sz w:val="24"/>
          <w:szCs w:val="24"/>
          <w:lang w:val="en-GB"/>
        </w:rPr>
        <w:t xml:space="preserve"> and LFPl</w:t>
      </w:r>
      <w:r w:rsidRPr="00AC72BF">
        <w:rPr>
          <w:rFonts w:ascii="Times New Roman" w:hAnsi="Times New Roman"/>
          <w:b/>
          <w:bCs/>
          <w:sz w:val="24"/>
          <w:szCs w:val="24"/>
          <w:lang w:val="en-GB"/>
        </w:rPr>
        <w:t xml:space="preserve"> with lower outputs </w:t>
      </w:r>
      <w:r>
        <w:rPr>
          <w:rFonts w:ascii="Times New Roman" w:hAnsi="Times New Roman"/>
          <w:b/>
          <w:bCs/>
          <w:sz w:val="24"/>
          <w:szCs w:val="24"/>
          <w:lang w:val="en-GB"/>
        </w:rPr>
        <w:t>in</w:t>
      </w:r>
      <w:r w:rsidRPr="00AC72BF">
        <w:rPr>
          <w:rFonts w:ascii="Times New Roman" w:hAnsi="Times New Roman"/>
          <w:b/>
          <w:bCs/>
          <w:sz w:val="24"/>
          <w:szCs w:val="24"/>
          <w:lang w:val="en-GB"/>
        </w:rPr>
        <w:t xml:space="preserve"> top half papers. The higher bars of FaF HK is explained by the low</w:t>
      </w:r>
      <w:r>
        <w:rPr>
          <w:rFonts w:ascii="Times New Roman" w:hAnsi="Times New Roman"/>
          <w:b/>
          <w:bCs/>
          <w:sz w:val="24"/>
          <w:szCs w:val="24"/>
          <w:lang w:val="en-GB"/>
        </w:rPr>
        <w:t xml:space="preserve"> number of</w:t>
      </w:r>
      <w:r w:rsidRPr="00AC72BF">
        <w:rPr>
          <w:rFonts w:ascii="Times New Roman" w:hAnsi="Times New Roman"/>
          <w:b/>
          <w:bCs/>
          <w:sz w:val="24"/>
          <w:szCs w:val="24"/>
          <w:lang w:val="en-GB"/>
        </w:rPr>
        <w:t xml:space="preserve"> self allocated authors /researchers</w:t>
      </w:r>
      <w:r>
        <w:rPr>
          <w:rFonts w:ascii="Times New Roman" w:hAnsi="Times New Roman"/>
          <w:b/>
          <w:bCs/>
          <w:sz w:val="24"/>
          <w:szCs w:val="24"/>
          <w:lang w:val="en-GB"/>
        </w:rPr>
        <w:t xml:space="preserve"> with a multidisciplinary focus</w:t>
      </w:r>
      <w:r w:rsidRPr="00AC72BF">
        <w:rPr>
          <w:rFonts w:ascii="Times New Roman" w:hAnsi="Times New Roman"/>
          <w:b/>
          <w:bCs/>
          <w:sz w:val="24"/>
          <w:szCs w:val="24"/>
          <w:lang w:val="en-GB"/>
        </w:rPr>
        <w:t xml:space="preserve"> (see caveat 1 above).</w:t>
      </w:r>
    </w:p>
    <w:p w14:paraId="737E593D" w14:textId="77777777" w:rsidR="00265DE9" w:rsidRDefault="00265DE9" w:rsidP="00265DE9">
      <w:pPr>
        <w:spacing w:after="0" w:line="360" w:lineRule="auto"/>
        <w:jc w:val="both"/>
        <w:rPr>
          <w:rFonts w:ascii="Times New Roman" w:hAnsi="Times New Roman"/>
          <w:b/>
          <w:bCs/>
          <w:sz w:val="24"/>
          <w:szCs w:val="24"/>
          <w:lang w:val="en-GB"/>
        </w:rPr>
      </w:pPr>
    </w:p>
    <w:p w14:paraId="7609E200" w14:textId="77777777" w:rsidR="00265DE9" w:rsidRDefault="00265DE9" w:rsidP="00AC3513">
      <w:pPr>
        <w:spacing w:after="0" w:line="360" w:lineRule="auto"/>
        <w:jc w:val="both"/>
        <w:rPr>
          <w:rFonts w:ascii="Times New Roman" w:hAnsi="Times New Roman"/>
          <w:b/>
          <w:bCs/>
          <w:sz w:val="24"/>
          <w:szCs w:val="24"/>
          <w:lang w:val="en-GB"/>
        </w:rPr>
      </w:pPr>
    </w:p>
    <w:tbl>
      <w:tblPr>
        <w:tblW w:w="14300" w:type="dxa"/>
        <w:tblInd w:w="93" w:type="dxa"/>
        <w:tblLook w:val="04A0" w:firstRow="1" w:lastRow="0" w:firstColumn="1" w:lastColumn="0" w:noHBand="0" w:noVBand="1"/>
      </w:tblPr>
      <w:tblGrid>
        <w:gridCol w:w="1801"/>
        <w:gridCol w:w="799"/>
        <w:gridCol w:w="1300"/>
        <w:gridCol w:w="1300"/>
        <w:gridCol w:w="1300"/>
        <w:gridCol w:w="1300"/>
        <w:gridCol w:w="1300"/>
        <w:gridCol w:w="1300"/>
        <w:gridCol w:w="1300"/>
        <w:gridCol w:w="1300"/>
        <w:gridCol w:w="1300"/>
      </w:tblGrid>
      <w:tr w:rsidR="00AC3513" w:rsidRPr="00AC72BF" w14:paraId="286F70D6" w14:textId="77777777" w:rsidTr="00265DE9">
        <w:trPr>
          <w:trHeight w:val="300"/>
        </w:trPr>
        <w:tc>
          <w:tcPr>
            <w:tcW w:w="2600" w:type="dxa"/>
            <w:gridSpan w:val="2"/>
            <w:tcBorders>
              <w:top w:val="nil"/>
              <w:left w:val="nil"/>
              <w:bottom w:val="nil"/>
              <w:right w:val="nil"/>
            </w:tcBorders>
            <w:shd w:val="clear" w:color="auto" w:fill="auto"/>
            <w:noWrap/>
            <w:vAlign w:val="bottom"/>
            <w:hideMark/>
          </w:tcPr>
          <w:p w14:paraId="698E6B54" w14:textId="77777777" w:rsidR="00AC3513" w:rsidRPr="00AC72BF" w:rsidRDefault="00AC3513" w:rsidP="00265DE9">
            <w:pPr>
              <w:spacing w:after="0" w:line="240" w:lineRule="auto"/>
              <w:rPr>
                <w:rFonts w:ascii="Times New Roman" w:eastAsia="Times New Roman" w:hAnsi="Times New Roman"/>
                <w:b/>
                <w:color w:val="000000"/>
                <w:sz w:val="24"/>
                <w:szCs w:val="24"/>
                <w:lang w:val="en-GB"/>
              </w:rPr>
            </w:pPr>
          </w:p>
          <w:p w14:paraId="17B86B75" w14:textId="49C21CBF" w:rsidR="00AC3513" w:rsidRPr="00AC72BF" w:rsidRDefault="00AC3513" w:rsidP="00265DE9">
            <w:pPr>
              <w:spacing w:after="0" w:line="240" w:lineRule="auto"/>
              <w:rPr>
                <w:rFonts w:ascii="Times New Roman" w:eastAsia="Times New Roman" w:hAnsi="Times New Roman"/>
                <w:b/>
                <w:color w:val="000000"/>
                <w:sz w:val="24"/>
                <w:szCs w:val="24"/>
                <w:lang w:val="en-GB"/>
              </w:rPr>
            </w:pPr>
            <w:r w:rsidRPr="00AC72BF">
              <w:rPr>
                <w:rFonts w:ascii="Times New Roman" w:eastAsia="Times New Roman" w:hAnsi="Times New Roman"/>
                <w:b/>
                <w:color w:val="000000"/>
                <w:sz w:val="24"/>
                <w:szCs w:val="24"/>
                <w:lang w:val="en-GB"/>
              </w:rPr>
              <w:t>Health sciences</w:t>
            </w:r>
            <w:r>
              <w:rPr>
                <w:rFonts w:ascii="Times New Roman" w:eastAsia="Times New Roman" w:hAnsi="Times New Roman"/>
                <w:b/>
                <w:color w:val="000000"/>
                <w:sz w:val="24"/>
                <w:szCs w:val="24"/>
                <w:lang w:val="en-GB"/>
              </w:rPr>
              <w:t xml:space="preserve"> and others</w:t>
            </w:r>
            <w:r w:rsidR="009D3620">
              <w:rPr>
                <w:rFonts w:ascii="Times New Roman" w:eastAsia="Times New Roman" w:hAnsi="Times New Roman"/>
                <w:b/>
                <w:color w:val="000000"/>
                <w:sz w:val="24"/>
                <w:szCs w:val="24"/>
                <w:lang w:val="en-GB"/>
              </w:rPr>
              <w:t xml:space="preserve"> FORD</w:t>
            </w:r>
          </w:p>
        </w:tc>
        <w:tc>
          <w:tcPr>
            <w:tcW w:w="1300" w:type="dxa"/>
            <w:tcBorders>
              <w:top w:val="nil"/>
              <w:left w:val="nil"/>
              <w:bottom w:val="nil"/>
              <w:right w:val="nil"/>
            </w:tcBorders>
            <w:shd w:val="clear" w:color="auto" w:fill="auto"/>
            <w:noWrap/>
            <w:vAlign w:val="bottom"/>
            <w:hideMark/>
          </w:tcPr>
          <w:p w14:paraId="18FF173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D2B275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B905C6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C36305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5EA422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F93221"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104F2E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5E77CBC"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CA8F297"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p>
        </w:tc>
      </w:tr>
      <w:tr w:rsidR="00AC3513" w:rsidRPr="00AC72BF" w14:paraId="309BFB80" w14:textId="77777777" w:rsidTr="00265DE9">
        <w:trPr>
          <w:trHeight w:val="300"/>
        </w:trPr>
        <w:tc>
          <w:tcPr>
            <w:tcW w:w="1801" w:type="dxa"/>
            <w:tcBorders>
              <w:top w:val="nil"/>
              <w:left w:val="nil"/>
              <w:bottom w:val="nil"/>
              <w:right w:val="nil"/>
            </w:tcBorders>
            <w:shd w:val="clear" w:color="auto" w:fill="auto"/>
            <w:noWrap/>
            <w:vAlign w:val="bottom"/>
            <w:hideMark/>
          </w:tcPr>
          <w:p w14:paraId="56487D76"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Unit</w:t>
            </w:r>
          </w:p>
        </w:tc>
        <w:tc>
          <w:tcPr>
            <w:tcW w:w="799" w:type="dxa"/>
            <w:tcBorders>
              <w:top w:val="nil"/>
              <w:left w:val="nil"/>
              <w:bottom w:val="nil"/>
              <w:right w:val="nil"/>
            </w:tcBorders>
            <w:shd w:val="clear" w:color="auto" w:fill="auto"/>
            <w:noWrap/>
            <w:vAlign w:val="bottom"/>
            <w:hideMark/>
          </w:tcPr>
          <w:p w14:paraId="3601E8CA"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HC</w:t>
            </w:r>
          </w:p>
        </w:tc>
        <w:tc>
          <w:tcPr>
            <w:tcW w:w="1300" w:type="dxa"/>
            <w:tcBorders>
              <w:top w:val="nil"/>
              <w:left w:val="nil"/>
              <w:bottom w:val="nil"/>
              <w:right w:val="nil"/>
            </w:tcBorders>
            <w:shd w:val="clear" w:color="auto" w:fill="auto"/>
            <w:noWrap/>
            <w:vAlign w:val="bottom"/>
            <w:hideMark/>
          </w:tcPr>
          <w:p w14:paraId="024C6DD2"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Share Major</w:t>
            </w:r>
          </w:p>
        </w:tc>
        <w:tc>
          <w:tcPr>
            <w:tcW w:w="1300" w:type="dxa"/>
            <w:tcBorders>
              <w:top w:val="nil"/>
              <w:left w:val="nil"/>
              <w:bottom w:val="nil"/>
              <w:right w:val="nil"/>
            </w:tcBorders>
            <w:shd w:val="clear" w:color="auto" w:fill="auto"/>
            <w:noWrap/>
            <w:vAlign w:val="bottom"/>
            <w:hideMark/>
          </w:tcPr>
          <w:p w14:paraId="491DBBF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14C21403"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7486708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6499040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D3B5D1F"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49706865"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7861C760" w14:textId="77777777" w:rsidR="00AC3513" w:rsidRPr="00AC72BF" w:rsidRDefault="00AC3513" w:rsidP="00265DE9">
            <w:pPr>
              <w:spacing w:after="0" w:line="240" w:lineRule="auto"/>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5A2AA22A" w14:textId="77777777" w:rsidR="00AC3513" w:rsidRPr="00416F7E" w:rsidRDefault="00AC3513" w:rsidP="00265DE9">
            <w:pPr>
              <w:spacing w:after="0" w:line="240" w:lineRule="auto"/>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Total P/A</w:t>
            </w:r>
          </w:p>
        </w:tc>
      </w:tr>
      <w:tr w:rsidR="00AC3513" w:rsidRPr="00AC72BF" w14:paraId="17898282" w14:textId="77777777" w:rsidTr="00265DE9">
        <w:trPr>
          <w:trHeight w:val="300"/>
        </w:trPr>
        <w:tc>
          <w:tcPr>
            <w:tcW w:w="1801" w:type="dxa"/>
            <w:tcBorders>
              <w:top w:val="nil"/>
              <w:left w:val="nil"/>
              <w:bottom w:val="nil"/>
              <w:right w:val="nil"/>
            </w:tcBorders>
            <w:shd w:val="clear" w:color="auto" w:fill="auto"/>
            <w:noWrap/>
            <w:vAlign w:val="bottom"/>
            <w:hideMark/>
          </w:tcPr>
          <w:p w14:paraId="6B0C39F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 LF</w:t>
            </w:r>
          </w:p>
        </w:tc>
        <w:tc>
          <w:tcPr>
            <w:tcW w:w="799" w:type="dxa"/>
            <w:tcBorders>
              <w:top w:val="nil"/>
              <w:left w:val="nil"/>
              <w:bottom w:val="nil"/>
              <w:right w:val="nil"/>
            </w:tcBorders>
            <w:shd w:val="clear" w:color="auto" w:fill="auto"/>
            <w:noWrap/>
            <w:vAlign w:val="bottom"/>
            <w:hideMark/>
          </w:tcPr>
          <w:p w14:paraId="4F1871C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97</w:t>
            </w:r>
          </w:p>
        </w:tc>
        <w:tc>
          <w:tcPr>
            <w:tcW w:w="1300" w:type="dxa"/>
            <w:tcBorders>
              <w:top w:val="nil"/>
              <w:left w:val="nil"/>
              <w:bottom w:val="nil"/>
              <w:right w:val="nil"/>
            </w:tcBorders>
            <w:shd w:val="clear" w:color="auto" w:fill="auto"/>
            <w:noWrap/>
            <w:vAlign w:val="bottom"/>
            <w:hideMark/>
          </w:tcPr>
          <w:p w14:paraId="77D0B56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40.8%</w:t>
            </w:r>
          </w:p>
        </w:tc>
        <w:tc>
          <w:tcPr>
            <w:tcW w:w="1300" w:type="dxa"/>
            <w:tcBorders>
              <w:top w:val="nil"/>
              <w:left w:val="nil"/>
              <w:bottom w:val="nil"/>
              <w:right w:val="nil"/>
            </w:tcBorders>
            <w:shd w:val="clear" w:color="auto" w:fill="auto"/>
            <w:noWrap/>
            <w:vAlign w:val="bottom"/>
            <w:hideMark/>
          </w:tcPr>
          <w:p w14:paraId="1CCD1F4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143</w:t>
            </w:r>
          </w:p>
        </w:tc>
        <w:tc>
          <w:tcPr>
            <w:tcW w:w="1300" w:type="dxa"/>
            <w:tcBorders>
              <w:top w:val="nil"/>
              <w:left w:val="nil"/>
              <w:bottom w:val="nil"/>
              <w:right w:val="nil"/>
            </w:tcBorders>
            <w:shd w:val="clear" w:color="auto" w:fill="auto"/>
            <w:noWrap/>
            <w:vAlign w:val="bottom"/>
            <w:hideMark/>
          </w:tcPr>
          <w:p w14:paraId="0435598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1.47</w:t>
            </w:r>
          </w:p>
        </w:tc>
        <w:tc>
          <w:tcPr>
            <w:tcW w:w="1300" w:type="dxa"/>
            <w:tcBorders>
              <w:top w:val="nil"/>
              <w:left w:val="nil"/>
              <w:bottom w:val="nil"/>
              <w:right w:val="nil"/>
            </w:tcBorders>
            <w:shd w:val="clear" w:color="auto" w:fill="auto"/>
            <w:noWrap/>
            <w:vAlign w:val="bottom"/>
            <w:hideMark/>
          </w:tcPr>
          <w:p w14:paraId="0DB88A7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83</w:t>
            </w:r>
          </w:p>
        </w:tc>
        <w:tc>
          <w:tcPr>
            <w:tcW w:w="1300" w:type="dxa"/>
            <w:tcBorders>
              <w:top w:val="nil"/>
              <w:left w:val="nil"/>
              <w:bottom w:val="nil"/>
              <w:right w:val="nil"/>
            </w:tcBorders>
            <w:shd w:val="clear" w:color="auto" w:fill="auto"/>
            <w:noWrap/>
            <w:vAlign w:val="bottom"/>
            <w:hideMark/>
          </w:tcPr>
          <w:p w14:paraId="7BA53C8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0.86</w:t>
            </w:r>
          </w:p>
        </w:tc>
        <w:tc>
          <w:tcPr>
            <w:tcW w:w="1300" w:type="dxa"/>
            <w:tcBorders>
              <w:top w:val="nil"/>
              <w:left w:val="nil"/>
              <w:bottom w:val="nil"/>
              <w:right w:val="nil"/>
            </w:tcBorders>
            <w:shd w:val="clear" w:color="auto" w:fill="auto"/>
            <w:noWrap/>
            <w:vAlign w:val="bottom"/>
            <w:hideMark/>
          </w:tcPr>
          <w:p w14:paraId="0D0F77C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27</w:t>
            </w:r>
          </w:p>
        </w:tc>
        <w:tc>
          <w:tcPr>
            <w:tcW w:w="1300" w:type="dxa"/>
            <w:tcBorders>
              <w:top w:val="nil"/>
              <w:left w:val="nil"/>
              <w:bottom w:val="nil"/>
              <w:right w:val="nil"/>
            </w:tcBorders>
            <w:shd w:val="clear" w:color="auto" w:fill="auto"/>
            <w:noWrap/>
            <w:vAlign w:val="bottom"/>
            <w:hideMark/>
          </w:tcPr>
          <w:p w14:paraId="2572253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0.28</w:t>
            </w:r>
          </w:p>
        </w:tc>
        <w:tc>
          <w:tcPr>
            <w:tcW w:w="1300" w:type="dxa"/>
            <w:tcBorders>
              <w:top w:val="nil"/>
              <w:left w:val="nil"/>
              <w:bottom w:val="nil"/>
              <w:right w:val="nil"/>
            </w:tcBorders>
            <w:shd w:val="clear" w:color="auto" w:fill="auto"/>
            <w:noWrap/>
            <w:vAlign w:val="bottom"/>
            <w:hideMark/>
          </w:tcPr>
          <w:p w14:paraId="270AA3B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226</w:t>
            </w:r>
          </w:p>
        </w:tc>
        <w:tc>
          <w:tcPr>
            <w:tcW w:w="1300" w:type="dxa"/>
            <w:tcBorders>
              <w:top w:val="nil"/>
              <w:left w:val="nil"/>
              <w:bottom w:val="nil"/>
              <w:right w:val="nil"/>
            </w:tcBorders>
            <w:shd w:val="clear" w:color="auto" w:fill="auto"/>
            <w:noWrap/>
            <w:vAlign w:val="bottom"/>
            <w:hideMark/>
          </w:tcPr>
          <w:p w14:paraId="5E37A388"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2.33</w:t>
            </w:r>
          </w:p>
        </w:tc>
      </w:tr>
      <w:tr w:rsidR="00AC3513" w:rsidRPr="00AC72BF" w14:paraId="62CF1A5C" w14:textId="77777777" w:rsidTr="00265DE9">
        <w:trPr>
          <w:trHeight w:val="300"/>
        </w:trPr>
        <w:tc>
          <w:tcPr>
            <w:tcW w:w="1801" w:type="dxa"/>
            <w:tcBorders>
              <w:top w:val="nil"/>
              <w:left w:val="nil"/>
              <w:bottom w:val="nil"/>
              <w:right w:val="nil"/>
            </w:tcBorders>
            <w:shd w:val="clear" w:color="auto" w:fill="auto"/>
            <w:noWrap/>
            <w:vAlign w:val="bottom"/>
            <w:hideMark/>
          </w:tcPr>
          <w:p w14:paraId="1160707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 LF</w:t>
            </w:r>
          </w:p>
        </w:tc>
        <w:tc>
          <w:tcPr>
            <w:tcW w:w="799" w:type="dxa"/>
            <w:tcBorders>
              <w:top w:val="nil"/>
              <w:left w:val="nil"/>
              <w:bottom w:val="nil"/>
              <w:right w:val="nil"/>
            </w:tcBorders>
            <w:shd w:val="clear" w:color="auto" w:fill="auto"/>
            <w:noWrap/>
            <w:vAlign w:val="bottom"/>
            <w:hideMark/>
          </w:tcPr>
          <w:p w14:paraId="3BC8859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w:t>
            </w:r>
          </w:p>
        </w:tc>
        <w:tc>
          <w:tcPr>
            <w:tcW w:w="1300" w:type="dxa"/>
            <w:tcBorders>
              <w:top w:val="nil"/>
              <w:left w:val="nil"/>
              <w:bottom w:val="nil"/>
              <w:right w:val="nil"/>
            </w:tcBorders>
            <w:shd w:val="clear" w:color="auto" w:fill="auto"/>
            <w:noWrap/>
            <w:vAlign w:val="bottom"/>
            <w:hideMark/>
          </w:tcPr>
          <w:p w14:paraId="16BAAAD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29.0%</w:t>
            </w:r>
          </w:p>
        </w:tc>
        <w:tc>
          <w:tcPr>
            <w:tcW w:w="1300" w:type="dxa"/>
            <w:tcBorders>
              <w:top w:val="nil"/>
              <w:left w:val="nil"/>
              <w:bottom w:val="nil"/>
              <w:right w:val="nil"/>
            </w:tcBorders>
            <w:shd w:val="clear" w:color="auto" w:fill="auto"/>
            <w:noWrap/>
            <w:vAlign w:val="bottom"/>
            <w:hideMark/>
          </w:tcPr>
          <w:p w14:paraId="12387C3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72</w:t>
            </w:r>
          </w:p>
        </w:tc>
        <w:tc>
          <w:tcPr>
            <w:tcW w:w="1300" w:type="dxa"/>
            <w:tcBorders>
              <w:top w:val="nil"/>
              <w:left w:val="nil"/>
              <w:bottom w:val="nil"/>
              <w:right w:val="nil"/>
            </w:tcBorders>
            <w:shd w:val="clear" w:color="auto" w:fill="auto"/>
            <w:noWrap/>
            <w:vAlign w:val="bottom"/>
            <w:hideMark/>
          </w:tcPr>
          <w:p w14:paraId="1C01B40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2.48</w:t>
            </w:r>
          </w:p>
        </w:tc>
        <w:tc>
          <w:tcPr>
            <w:tcW w:w="1300" w:type="dxa"/>
            <w:tcBorders>
              <w:top w:val="nil"/>
              <w:left w:val="nil"/>
              <w:bottom w:val="nil"/>
              <w:right w:val="nil"/>
            </w:tcBorders>
            <w:shd w:val="clear" w:color="auto" w:fill="auto"/>
            <w:noWrap/>
            <w:vAlign w:val="bottom"/>
            <w:hideMark/>
          </w:tcPr>
          <w:p w14:paraId="086441E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26</w:t>
            </w:r>
          </w:p>
        </w:tc>
        <w:tc>
          <w:tcPr>
            <w:tcW w:w="1300" w:type="dxa"/>
            <w:tcBorders>
              <w:top w:val="nil"/>
              <w:left w:val="nil"/>
              <w:bottom w:val="nil"/>
              <w:right w:val="nil"/>
            </w:tcBorders>
            <w:shd w:val="clear" w:color="auto" w:fill="auto"/>
            <w:noWrap/>
            <w:vAlign w:val="bottom"/>
            <w:hideMark/>
          </w:tcPr>
          <w:p w14:paraId="094191E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0.90</w:t>
            </w:r>
          </w:p>
        </w:tc>
        <w:tc>
          <w:tcPr>
            <w:tcW w:w="1300" w:type="dxa"/>
            <w:tcBorders>
              <w:top w:val="nil"/>
              <w:left w:val="nil"/>
              <w:bottom w:val="nil"/>
              <w:right w:val="nil"/>
            </w:tcBorders>
            <w:shd w:val="clear" w:color="auto" w:fill="auto"/>
            <w:noWrap/>
            <w:vAlign w:val="bottom"/>
            <w:hideMark/>
          </w:tcPr>
          <w:p w14:paraId="3386902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4C55D89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0.14</w:t>
            </w:r>
          </w:p>
        </w:tc>
        <w:tc>
          <w:tcPr>
            <w:tcW w:w="1300" w:type="dxa"/>
            <w:tcBorders>
              <w:top w:val="nil"/>
              <w:left w:val="nil"/>
              <w:bottom w:val="nil"/>
              <w:right w:val="nil"/>
            </w:tcBorders>
            <w:shd w:val="clear" w:color="auto" w:fill="auto"/>
            <w:noWrap/>
            <w:vAlign w:val="bottom"/>
            <w:hideMark/>
          </w:tcPr>
          <w:p w14:paraId="1463660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98</w:t>
            </w:r>
          </w:p>
        </w:tc>
        <w:tc>
          <w:tcPr>
            <w:tcW w:w="1300" w:type="dxa"/>
            <w:tcBorders>
              <w:top w:val="nil"/>
              <w:left w:val="nil"/>
              <w:bottom w:val="nil"/>
              <w:right w:val="nil"/>
            </w:tcBorders>
            <w:shd w:val="clear" w:color="auto" w:fill="auto"/>
            <w:noWrap/>
            <w:vAlign w:val="bottom"/>
            <w:hideMark/>
          </w:tcPr>
          <w:p w14:paraId="444D414E"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3.38</w:t>
            </w:r>
          </w:p>
        </w:tc>
      </w:tr>
      <w:tr w:rsidR="00AC3513" w:rsidRPr="00AC72BF" w14:paraId="7DBE9936" w14:textId="77777777" w:rsidTr="00265DE9">
        <w:trPr>
          <w:trHeight w:val="300"/>
        </w:trPr>
        <w:tc>
          <w:tcPr>
            <w:tcW w:w="1801" w:type="dxa"/>
            <w:tcBorders>
              <w:top w:val="nil"/>
              <w:left w:val="nil"/>
              <w:bottom w:val="nil"/>
              <w:right w:val="nil"/>
            </w:tcBorders>
            <w:shd w:val="clear" w:color="auto" w:fill="auto"/>
            <w:noWrap/>
            <w:vAlign w:val="bottom"/>
            <w:hideMark/>
          </w:tcPr>
          <w:p w14:paraId="3E33312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 LF</w:t>
            </w:r>
          </w:p>
        </w:tc>
        <w:tc>
          <w:tcPr>
            <w:tcW w:w="799" w:type="dxa"/>
            <w:tcBorders>
              <w:top w:val="nil"/>
              <w:left w:val="nil"/>
              <w:bottom w:val="nil"/>
              <w:right w:val="nil"/>
            </w:tcBorders>
            <w:shd w:val="clear" w:color="auto" w:fill="auto"/>
            <w:noWrap/>
            <w:vAlign w:val="bottom"/>
            <w:hideMark/>
          </w:tcPr>
          <w:p w14:paraId="4CF0CCE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43</w:t>
            </w:r>
          </w:p>
        </w:tc>
        <w:tc>
          <w:tcPr>
            <w:tcW w:w="1300" w:type="dxa"/>
            <w:tcBorders>
              <w:top w:val="nil"/>
              <w:left w:val="nil"/>
              <w:bottom w:val="nil"/>
              <w:right w:val="nil"/>
            </w:tcBorders>
            <w:shd w:val="clear" w:color="auto" w:fill="auto"/>
            <w:noWrap/>
            <w:vAlign w:val="bottom"/>
            <w:hideMark/>
          </w:tcPr>
          <w:p w14:paraId="4CF194C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43.4%</w:t>
            </w:r>
          </w:p>
        </w:tc>
        <w:tc>
          <w:tcPr>
            <w:tcW w:w="1300" w:type="dxa"/>
            <w:tcBorders>
              <w:top w:val="nil"/>
              <w:left w:val="nil"/>
              <w:bottom w:val="nil"/>
              <w:right w:val="nil"/>
            </w:tcBorders>
            <w:shd w:val="clear" w:color="auto" w:fill="auto"/>
            <w:noWrap/>
            <w:vAlign w:val="bottom"/>
            <w:hideMark/>
          </w:tcPr>
          <w:p w14:paraId="6AE6895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47</w:t>
            </w:r>
          </w:p>
        </w:tc>
        <w:tc>
          <w:tcPr>
            <w:tcW w:w="1300" w:type="dxa"/>
            <w:tcBorders>
              <w:top w:val="nil"/>
              <w:left w:val="nil"/>
              <w:bottom w:val="nil"/>
              <w:right w:val="nil"/>
            </w:tcBorders>
            <w:shd w:val="clear" w:color="auto" w:fill="auto"/>
            <w:noWrap/>
            <w:vAlign w:val="bottom"/>
            <w:hideMark/>
          </w:tcPr>
          <w:p w14:paraId="292F94AA"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2167114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w:t>
            </w:r>
          </w:p>
        </w:tc>
        <w:tc>
          <w:tcPr>
            <w:tcW w:w="1300" w:type="dxa"/>
            <w:tcBorders>
              <w:top w:val="nil"/>
              <w:left w:val="nil"/>
              <w:bottom w:val="nil"/>
              <w:right w:val="nil"/>
            </w:tcBorders>
            <w:shd w:val="clear" w:color="auto" w:fill="auto"/>
            <w:noWrap/>
            <w:vAlign w:val="bottom"/>
            <w:hideMark/>
          </w:tcPr>
          <w:p w14:paraId="0A0FA51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0.77</w:t>
            </w:r>
          </w:p>
        </w:tc>
        <w:tc>
          <w:tcPr>
            <w:tcW w:w="1300" w:type="dxa"/>
            <w:tcBorders>
              <w:top w:val="nil"/>
              <w:left w:val="nil"/>
              <w:bottom w:val="nil"/>
              <w:right w:val="nil"/>
            </w:tcBorders>
            <w:shd w:val="clear" w:color="auto" w:fill="auto"/>
            <w:noWrap/>
            <w:vAlign w:val="bottom"/>
            <w:hideMark/>
          </w:tcPr>
          <w:p w14:paraId="153E4A3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11B0E88F"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0.05</w:t>
            </w:r>
          </w:p>
        </w:tc>
        <w:tc>
          <w:tcPr>
            <w:tcW w:w="1300" w:type="dxa"/>
            <w:tcBorders>
              <w:top w:val="nil"/>
              <w:left w:val="nil"/>
              <w:bottom w:val="nil"/>
              <w:right w:val="nil"/>
            </w:tcBorders>
            <w:shd w:val="clear" w:color="auto" w:fill="auto"/>
            <w:noWrap/>
            <w:vAlign w:val="bottom"/>
            <w:hideMark/>
          </w:tcPr>
          <w:p w14:paraId="4AD6769D"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80</w:t>
            </w:r>
          </w:p>
        </w:tc>
        <w:tc>
          <w:tcPr>
            <w:tcW w:w="1300" w:type="dxa"/>
            <w:tcBorders>
              <w:top w:val="nil"/>
              <w:left w:val="nil"/>
              <w:bottom w:val="nil"/>
              <w:right w:val="nil"/>
            </w:tcBorders>
            <w:shd w:val="clear" w:color="auto" w:fill="auto"/>
            <w:noWrap/>
            <w:vAlign w:val="bottom"/>
            <w:hideMark/>
          </w:tcPr>
          <w:p w14:paraId="20913583"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1.86</w:t>
            </w:r>
          </w:p>
        </w:tc>
      </w:tr>
      <w:tr w:rsidR="00AC3513" w:rsidRPr="00AC72BF" w14:paraId="60A473EF" w14:textId="77777777" w:rsidTr="00265DE9">
        <w:trPr>
          <w:trHeight w:val="300"/>
        </w:trPr>
        <w:tc>
          <w:tcPr>
            <w:tcW w:w="1801" w:type="dxa"/>
            <w:tcBorders>
              <w:top w:val="nil"/>
              <w:left w:val="nil"/>
              <w:bottom w:val="nil"/>
              <w:right w:val="nil"/>
            </w:tcBorders>
            <w:shd w:val="clear" w:color="auto" w:fill="auto"/>
            <w:noWrap/>
            <w:vAlign w:val="bottom"/>
            <w:hideMark/>
          </w:tcPr>
          <w:p w14:paraId="1408966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FaF HK</w:t>
            </w:r>
          </w:p>
        </w:tc>
        <w:tc>
          <w:tcPr>
            <w:tcW w:w="799" w:type="dxa"/>
            <w:tcBorders>
              <w:top w:val="nil"/>
              <w:left w:val="nil"/>
              <w:bottom w:val="nil"/>
              <w:right w:val="nil"/>
            </w:tcBorders>
            <w:shd w:val="clear" w:color="auto" w:fill="auto"/>
            <w:noWrap/>
            <w:vAlign w:val="bottom"/>
            <w:hideMark/>
          </w:tcPr>
          <w:p w14:paraId="287F4CA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w:t>
            </w:r>
          </w:p>
        </w:tc>
        <w:tc>
          <w:tcPr>
            <w:tcW w:w="1300" w:type="dxa"/>
            <w:tcBorders>
              <w:top w:val="nil"/>
              <w:left w:val="nil"/>
              <w:bottom w:val="nil"/>
              <w:right w:val="nil"/>
            </w:tcBorders>
            <w:shd w:val="clear" w:color="auto" w:fill="auto"/>
            <w:noWrap/>
            <w:vAlign w:val="bottom"/>
            <w:hideMark/>
          </w:tcPr>
          <w:p w14:paraId="36AB9A73"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32.8%</w:t>
            </w:r>
          </w:p>
        </w:tc>
        <w:tc>
          <w:tcPr>
            <w:tcW w:w="1300" w:type="dxa"/>
            <w:tcBorders>
              <w:top w:val="nil"/>
              <w:left w:val="nil"/>
              <w:bottom w:val="nil"/>
              <w:right w:val="nil"/>
            </w:tcBorders>
            <w:shd w:val="clear" w:color="auto" w:fill="auto"/>
            <w:noWrap/>
            <w:vAlign w:val="bottom"/>
            <w:hideMark/>
          </w:tcPr>
          <w:p w14:paraId="7050FF1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w:t>
            </w:r>
          </w:p>
        </w:tc>
        <w:tc>
          <w:tcPr>
            <w:tcW w:w="1300" w:type="dxa"/>
            <w:tcBorders>
              <w:top w:val="nil"/>
              <w:left w:val="nil"/>
              <w:bottom w:val="nil"/>
              <w:right w:val="nil"/>
            </w:tcBorders>
            <w:shd w:val="clear" w:color="auto" w:fill="auto"/>
            <w:noWrap/>
            <w:vAlign w:val="bottom"/>
            <w:hideMark/>
          </w:tcPr>
          <w:p w14:paraId="6E5658D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019A066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9</w:t>
            </w:r>
          </w:p>
        </w:tc>
        <w:tc>
          <w:tcPr>
            <w:tcW w:w="1300" w:type="dxa"/>
            <w:tcBorders>
              <w:top w:val="nil"/>
              <w:left w:val="nil"/>
              <w:bottom w:val="nil"/>
              <w:right w:val="nil"/>
            </w:tcBorders>
            <w:shd w:val="clear" w:color="auto" w:fill="auto"/>
            <w:noWrap/>
            <w:vAlign w:val="bottom"/>
            <w:hideMark/>
          </w:tcPr>
          <w:p w14:paraId="0CF41AA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0.41</w:t>
            </w:r>
          </w:p>
        </w:tc>
        <w:tc>
          <w:tcPr>
            <w:tcW w:w="1300" w:type="dxa"/>
            <w:tcBorders>
              <w:top w:val="nil"/>
              <w:left w:val="nil"/>
              <w:bottom w:val="nil"/>
              <w:right w:val="nil"/>
            </w:tcBorders>
            <w:shd w:val="clear" w:color="auto" w:fill="auto"/>
            <w:noWrap/>
            <w:vAlign w:val="bottom"/>
            <w:hideMark/>
          </w:tcPr>
          <w:p w14:paraId="0BAF108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5618B45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0CCB216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33</w:t>
            </w:r>
          </w:p>
        </w:tc>
        <w:tc>
          <w:tcPr>
            <w:tcW w:w="1300" w:type="dxa"/>
            <w:tcBorders>
              <w:top w:val="nil"/>
              <w:left w:val="nil"/>
              <w:bottom w:val="nil"/>
              <w:right w:val="nil"/>
            </w:tcBorders>
            <w:shd w:val="clear" w:color="auto" w:fill="auto"/>
            <w:noWrap/>
            <w:vAlign w:val="bottom"/>
            <w:hideMark/>
          </w:tcPr>
          <w:p w14:paraId="67CDE3AE"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1.50</w:t>
            </w:r>
          </w:p>
        </w:tc>
      </w:tr>
      <w:tr w:rsidR="00AC3513" w:rsidRPr="00AC72BF" w14:paraId="7D785A10" w14:textId="77777777" w:rsidTr="00265DE9">
        <w:trPr>
          <w:trHeight w:val="300"/>
        </w:trPr>
        <w:tc>
          <w:tcPr>
            <w:tcW w:w="1801" w:type="dxa"/>
            <w:tcBorders>
              <w:top w:val="nil"/>
              <w:left w:val="nil"/>
              <w:bottom w:val="nil"/>
              <w:right w:val="nil"/>
            </w:tcBorders>
            <w:shd w:val="clear" w:color="auto" w:fill="auto"/>
            <w:noWrap/>
            <w:vAlign w:val="bottom"/>
            <w:hideMark/>
          </w:tcPr>
          <w:p w14:paraId="20007CF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LFHK</w:t>
            </w:r>
          </w:p>
        </w:tc>
        <w:tc>
          <w:tcPr>
            <w:tcW w:w="799" w:type="dxa"/>
            <w:tcBorders>
              <w:top w:val="nil"/>
              <w:left w:val="nil"/>
              <w:bottom w:val="nil"/>
              <w:right w:val="nil"/>
            </w:tcBorders>
            <w:shd w:val="clear" w:color="auto" w:fill="auto"/>
            <w:noWrap/>
            <w:vAlign w:val="bottom"/>
            <w:hideMark/>
          </w:tcPr>
          <w:p w14:paraId="4DC764E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21</w:t>
            </w:r>
          </w:p>
        </w:tc>
        <w:tc>
          <w:tcPr>
            <w:tcW w:w="1300" w:type="dxa"/>
            <w:tcBorders>
              <w:top w:val="nil"/>
              <w:left w:val="nil"/>
              <w:bottom w:val="nil"/>
              <w:right w:val="nil"/>
            </w:tcBorders>
            <w:shd w:val="clear" w:color="auto" w:fill="auto"/>
            <w:noWrap/>
            <w:vAlign w:val="bottom"/>
            <w:hideMark/>
          </w:tcPr>
          <w:p w14:paraId="7576C2D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41.2%</w:t>
            </w:r>
          </w:p>
        </w:tc>
        <w:tc>
          <w:tcPr>
            <w:tcW w:w="1300" w:type="dxa"/>
            <w:tcBorders>
              <w:top w:val="nil"/>
              <w:left w:val="nil"/>
              <w:bottom w:val="nil"/>
              <w:right w:val="nil"/>
            </w:tcBorders>
            <w:shd w:val="clear" w:color="auto" w:fill="auto"/>
            <w:noWrap/>
            <w:vAlign w:val="bottom"/>
            <w:hideMark/>
          </w:tcPr>
          <w:p w14:paraId="681D928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36</w:t>
            </w:r>
          </w:p>
        </w:tc>
        <w:tc>
          <w:tcPr>
            <w:tcW w:w="1300" w:type="dxa"/>
            <w:tcBorders>
              <w:top w:val="nil"/>
              <w:left w:val="nil"/>
              <w:bottom w:val="nil"/>
              <w:right w:val="nil"/>
            </w:tcBorders>
            <w:shd w:val="clear" w:color="auto" w:fill="auto"/>
            <w:noWrap/>
            <w:vAlign w:val="bottom"/>
            <w:hideMark/>
          </w:tcPr>
          <w:p w14:paraId="518B8948"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1.71</w:t>
            </w:r>
          </w:p>
        </w:tc>
        <w:tc>
          <w:tcPr>
            <w:tcW w:w="1300" w:type="dxa"/>
            <w:tcBorders>
              <w:top w:val="nil"/>
              <w:left w:val="nil"/>
              <w:bottom w:val="nil"/>
              <w:right w:val="nil"/>
            </w:tcBorders>
            <w:shd w:val="clear" w:color="auto" w:fill="auto"/>
            <w:noWrap/>
            <w:vAlign w:val="bottom"/>
            <w:hideMark/>
          </w:tcPr>
          <w:p w14:paraId="711E5E21"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28</w:t>
            </w:r>
          </w:p>
        </w:tc>
        <w:tc>
          <w:tcPr>
            <w:tcW w:w="1300" w:type="dxa"/>
            <w:tcBorders>
              <w:top w:val="nil"/>
              <w:left w:val="nil"/>
              <w:bottom w:val="nil"/>
              <w:right w:val="nil"/>
            </w:tcBorders>
            <w:shd w:val="clear" w:color="auto" w:fill="auto"/>
            <w:noWrap/>
            <w:vAlign w:val="bottom"/>
            <w:hideMark/>
          </w:tcPr>
          <w:p w14:paraId="350E0310"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1.33</w:t>
            </w:r>
          </w:p>
        </w:tc>
        <w:tc>
          <w:tcPr>
            <w:tcW w:w="1300" w:type="dxa"/>
            <w:tcBorders>
              <w:top w:val="nil"/>
              <w:left w:val="nil"/>
              <w:bottom w:val="nil"/>
              <w:right w:val="nil"/>
            </w:tcBorders>
            <w:shd w:val="clear" w:color="auto" w:fill="auto"/>
            <w:noWrap/>
            <w:vAlign w:val="bottom"/>
            <w:hideMark/>
          </w:tcPr>
          <w:p w14:paraId="7598460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6DC2F30C"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0.00</w:t>
            </w:r>
          </w:p>
        </w:tc>
        <w:tc>
          <w:tcPr>
            <w:tcW w:w="1300" w:type="dxa"/>
            <w:tcBorders>
              <w:top w:val="nil"/>
              <w:left w:val="nil"/>
              <w:bottom w:val="nil"/>
              <w:right w:val="nil"/>
            </w:tcBorders>
            <w:shd w:val="clear" w:color="auto" w:fill="auto"/>
            <w:noWrap/>
            <w:vAlign w:val="bottom"/>
            <w:hideMark/>
          </w:tcPr>
          <w:p w14:paraId="6AF30D4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64</w:t>
            </w:r>
          </w:p>
        </w:tc>
        <w:tc>
          <w:tcPr>
            <w:tcW w:w="1300" w:type="dxa"/>
            <w:tcBorders>
              <w:top w:val="nil"/>
              <w:left w:val="nil"/>
              <w:bottom w:val="nil"/>
              <w:right w:val="nil"/>
            </w:tcBorders>
            <w:shd w:val="clear" w:color="auto" w:fill="auto"/>
            <w:noWrap/>
            <w:vAlign w:val="bottom"/>
            <w:hideMark/>
          </w:tcPr>
          <w:p w14:paraId="0950D7ED"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3.05</w:t>
            </w:r>
          </w:p>
        </w:tc>
      </w:tr>
      <w:tr w:rsidR="00AC3513" w:rsidRPr="00AC72BF" w14:paraId="5CD22936" w14:textId="77777777" w:rsidTr="00265DE9">
        <w:trPr>
          <w:trHeight w:val="300"/>
        </w:trPr>
        <w:tc>
          <w:tcPr>
            <w:tcW w:w="1801" w:type="dxa"/>
            <w:tcBorders>
              <w:top w:val="nil"/>
              <w:left w:val="nil"/>
              <w:bottom w:val="nil"/>
              <w:right w:val="nil"/>
            </w:tcBorders>
            <w:shd w:val="clear" w:color="auto" w:fill="auto"/>
            <w:noWrap/>
            <w:vAlign w:val="bottom"/>
            <w:hideMark/>
          </w:tcPr>
          <w:p w14:paraId="0D24162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LFPl</w:t>
            </w:r>
          </w:p>
        </w:tc>
        <w:tc>
          <w:tcPr>
            <w:tcW w:w="799" w:type="dxa"/>
            <w:tcBorders>
              <w:top w:val="nil"/>
              <w:left w:val="nil"/>
              <w:bottom w:val="nil"/>
              <w:right w:val="nil"/>
            </w:tcBorders>
            <w:shd w:val="clear" w:color="auto" w:fill="auto"/>
            <w:noWrap/>
            <w:vAlign w:val="bottom"/>
            <w:hideMark/>
          </w:tcPr>
          <w:p w14:paraId="3C724682"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w:t>
            </w:r>
          </w:p>
        </w:tc>
        <w:tc>
          <w:tcPr>
            <w:tcW w:w="1300" w:type="dxa"/>
            <w:tcBorders>
              <w:top w:val="nil"/>
              <w:left w:val="nil"/>
              <w:bottom w:val="nil"/>
              <w:right w:val="nil"/>
            </w:tcBorders>
            <w:shd w:val="clear" w:color="auto" w:fill="auto"/>
            <w:noWrap/>
            <w:vAlign w:val="bottom"/>
            <w:hideMark/>
          </w:tcPr>
          <w:p w14:paraId="0707C47E"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29.3%</w:t>
            </w:r>
          </w:p>
        </w:tc>
        <w:tc>
          <w:tcPr>
            <w:tcW w:w="1300" w:type="dxa"/>
            <w:tcBorders>
              <w:top w:val="nil"/>
              <w:left w:val="nil"/>
              <w:bottom w:val="nil"/>
              <w:right w:val="nil"/>
            </w:tcBorders>
            <w:shd w:val="clear" w:color="auto" w:fill="auto"/>
            <w:noWrap/>
            <w:vAlign w:val="bottom"/>
            <w:hideMark/>
          </w:tcPr>
          <w:p w14:paraId="5009D264"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24</w:t>
            </w:r>
          </w:p>
        </w:tc>
        <w:tc>
          <w:tcPr>
            <w:tcW w:w="1300" w:type="dxa"/>
            <w:tcBorders>
              <w:top w:val="nil"/>
              <w:left w:val="nil"/>
              <w:bottom w:val="nil"/>
              <w:right w:val="nil"/>
            </w:tcBorders>
            <w:shd w:val="clear" w:color="auto" w:fill="auto"/>
            <w:noWrap/>
            <w:vAlign w:val="bottom"/>
            <w:hideMark/>
          </w:tcPr>
          <w:p w14:paraId="23D91E25"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5B6646C9"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22</w:t>
            </w:r>
          </w:p>
        </w:tc>
        <w:tc>
          <w:tcPr>
            <w:tcW w:w="1300" w:type="dxa"/>
            <w:tcBorders>
              <w:top w:val="nil"/>
              <w:left w:val="nil"/>
              <w:bottom w:val="nil"/>
              <w:right w:val="nil"/>
            </w:tcBorders>
            <w:shd w:val="clear" w:color="auto" w:fill="auto"/>
            <w:noWrap/>
            <w:vAlign w:val="bottom"/>
            <w:hideMark/>
          </w:tcPr>
          <w:p w14:paraId="7DB6629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1.00</w:t>
            </w:r>
          </w:p>
        </w:tc>
        <w:tc>
          <w:tcPr>
            <w:tcW w:w="1300" w:type="dxa"/>
            <w:tcBorders>
              <w:top w:val="nil"/>
              <w:left w:val="nil"/>
              <w:bottom w:val="nil"/>
              <w:right w:val="nil"/>
            </w:tcBorders>
            <w:shd w:val="clear" w:color="auto" w:fill="auto"/>
            <w:noWrap/>
            <w:vAlign w:val="bottom"/>
            <w:hideMark/>
          </w:tcPr>
          <w:p w14:paraId="58F0FEF7"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307227EB"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0.18</w:t>
            </w:r>
          </w:p>
        </w:tc>
        <w:tc>
          <w:tcPr>
            <w:tcW w:w="1300" w:type="dxa"/>
            <w:tcBorders>
              <w:top w:val="nil"/>
              <w:left w:val="nil"/>
              <w:bottom w:val="nil"/>
              <w:right w:val="nil"/>
            </w:tcBorders>
            <w:shd w:val="clear" w:color="auto" w:fill="auto"/>
            <w:noWrap/>
            <w:vAlign w:val="bottom"/>
            <w:hideMark/>
          </w:tcPr>
          <w:p w14:paraId="26722236" w14:textId="77777777" w:rsidR="00AC3513" w:rsidRPr="00AC72BF" w:rsidRDefault="00AC3513" w:rsidP="00265DE9">
            <w:pPr>
              <w:spacing w:after="0" w:line="240" w:lineRule="auto"/>
              <w:jc w:val="center"/>
              <w:rPr>
                <w:rFonts w:ascii="Times New Roman" w:eastAsia="Times New Roman" w:hAnsi="Times New Roman"/>
                <w:color w:val="000000"/>
                <w:sz w:val="24"/>
                <w:szCs w:val="24"/>
                <w:lang w:val="en-GB"/>
              </w:rPr>
            </w:pPr>
            <w:r w:rsidRPr="00AC72BF">
              <w:rPr>
                <w:rFonts w:ascii="Times New Roman" w:eastAsia="Times New Roman" w:hAnsi="Times New Roman"/>
                <w:color w:val="000000"/>
                <w:sz w:val="24"/>
                <w:szCs w:val="24"/>
                <w:lang w:val="en-GB"/>
              </w:rPr>
              <w:t>46</w:t>
            </w:r>
          </w:p>
        </w:tc>
        <w:tc>
          <w:tcPr>
            <w:tcW w:w="1300" w:type="dxa"/>
            <w:tcBorders>
              <w:top w:val="nil"/>
              <w:left w:val="nil"/>
              <w:bottom w:val="nil"/>
              <w:right w:val="nil"/>
            </w:tcBorders>
            <w:shd w:val="clear" w:color="auto" w:fill="auto"/>
            <w:noWrap/>
            <w:vAlign w:val="bottom"/>
            <w:hideMark/>
          </w:tcPr>
          <w:p w14:paraId="0397422B" w14:textId="77777777" w:rsidR="00AC3513" w:rsidRPr="00416F7E" w:rsidRDefault="00AC3513" w:rsidP="00265DE9">
            <w:pPr>
              <w:spacing w:after="0" w:line="240" w:lineRule="auto"/>
              <w:jc w:val="center"/>
              <w:rPr>
                <w:rFonts w:ascii="Times New Roman" w:eastAsia="Times New Roman" w:hAnsi="Times New Roman"/>
                <w:color w:val="FF0000"/>
                <w:sz w:val="24"/>
                <w:szCs w:val="24"/>
                <w:lang w:val="en-GB"/>
              </w:rPr>
            </w:pPr>
            <w:r w:rsidRPr="00416F7E">
              <w:rPr>
                <w:rFonts w:ascii="Times New Roman" w:eastAsia="Times New Roman" w:hAnsi="Times New Roman"/>
                <w:color w:val="FF0000"/>
                <w:sz w:val="24"/>
                <w:szCs w:val="24"/>
                <w:lang w:val="en-GB"/>
              </w:rPr>
              <w:t>2.09</w:t>
            </w:r>
          </w:p>
        </w:tc>
      </w:tr>
    </w:tbl>
    <w:p w14:paraId="0583E24C" w14:textId="77777777" w:rsidR="00AC3513" w:rsidRPr="00AC72BF" w:rsidRDefault="00AC3513" w:rsidP="00AC3513">
      <w:pPr>
        <w:spacing w:after="0" w:line="360" w:lineRule="auto"/>
        <w:jc w:val="both"/>
        <w:rPr>
          <w:rFonts w:ascii="Times New Roman" w:hAnsi="Times New Roman"/>
          <w:b/>
          <w:bCs/>
          <w:sz w:val="24"/>
          <w:szCs w:val="24"/>
          <w:lang w:val="en-GB"/>
        </w:rPr>
      </w:pPr>
    </w:p>
    <w:p w14:paraId="2F8D43BE" w14:textId="77777777" w:rsidR="00AC3513" w:rsidRPr="00AC72BF" w:rsidRDefault="00AC3513" w:rsidP="00AC3513">
      <w:pPr>
        <w:spacing w:after="0" w:line="360" w:lineRule="auto"/>
        <w:jc w:val="both"/>
        <w:rPr>
          <w:rFonts w:ascii="Times New Roman" w:hAnsi="Times New Roman"/>
          <w:b/>
          <w:bCs/>
          <w:sz w:val="24"/>
          <w:szCs w:val="24"/>
          <w:lang w:val="en-GB"/>
        </w:rPr>
      </w:pPr>
      <w:r w:rsidRPr="00E31BF7">
        <w:rPr>
          <w:rFonts w:ascii="Times New Roman" w:hAnsi="Times New Roman"/>
          <w:b/>
          <w:bCs/>
          <w:noProof/>
          <w:sz w:val="24"/>
          <w:szCs w:val="24"/>
          <w:lang w:eastAsia="cs-CZ"/>
        </w:rPr>
        <w:lastRenderedPageBreak/>
        <w:drawing>
          <wp:inline distT="0" distB="0" distL="0" distR="0" wp14:anchorId="15101266" wp14:editId="249E961E">
            <wp:extent cx="6400800" cy="4114800"/>
            <wp:effectExtent l="0" t="0" r="0" b="0"/>
            <wp:docPr id="38" name="Picture 38" descr="beiliegend die unterschriebene:Dokumente:2020 Charles University:Statistics:Documents to work with:Individual reports:FORD comparson:ford_health_scienc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iliegend die unterschriebene:Dokumente:2020 Charles University:Statistics:Documents to work with:Individual reports:FORD comparson:ford_health_sciences.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596CAA76" w14:textId="77777777" w:rsidR="00AC3513" w:rsidRPr="00AC72BF" w:rsidRDefault="00AC3513" w:rsidP="00AC3513">
      <w:pPr>
        <w:spacing w:after="0" w:line="360" w:lineRule="auto"/>
        <w:ind w:left="1080"/>
        <w:jc w:val="both"/>
        <w:rPr>
          <w:rFonts w:ascii="Times New Roman" w:hAnsi="Times New Roman"/>
          <w:b/>
          <w:bCs/>
          <w:sz w:val="24"/>
          <w:szCs w:val="24"/>
          <w:lang w:val="en-GB"/>
        </w:rPr>
      </w:pPr>
    </w:p>
    <w:p w14:paraId="44A46385" w14:textId="77777777" w:rsidR="00AC3513" w:rsidRDefault="00AC3513" w:rsidP="00AC3513">
      <w:pPr>
        <w:spacing w:after="0" w:line="360" w:lineRule="auto"/>
        <w:ind w:left="1080" w:hanging="1080"/>
        <w:jc w:val="both"/>
        <w:rPr>
          <w:rFonts w:ascii="Times New Roman" w:hAnsi="Times New Roman"/>
          <w:b/>
          <w:bCs/>
          <w:sz w:val="24"/>
          <w:szCs w:val="24"/>
          <w:lang w:val="en-GB"/>
        </w:rPr>
      </w:pPr>
    </w:p>
    <w:tbl>
      <w:tblPr>
        <w:tblW w:w="13000" w:type="dxa"/>
        <w:tblInd w:w="93" w:type="dxa"/>
        <w:tblLook w:val="04A0" w:firstRow="1" w:lastRow="0" w:firstColumn="1" w:lastColumn="0" w:noHBand="0" w:noVBand="1"/>
      </w:tblPr>
      <w:tblGrid>
        <w:gridCol w:w="1389"/>
        <w:gridCol w:w="1063"/>
        <w:gridCol w:w="1521"/>
        <w:gridCol w:w="1227"/>
        <w:gridCol w:w="1300"/>
        <w:gridCol w:w="1300"/>
        <w:gridCol w:w="1300"/>
        <w:gridCol w:w="1300"/>
        <w:gridCol w:w="1300"/>
        <w:gridCol w:w="1300"/>
      </w:tblGrid>
      <w:tr w:rsidR="00AC3513" w:rsidRPr="00A03996" w14:paraId="0E4B9FCF" w14:textId="77777777" w:rsidTr="00265DE9">
        <w:trPr>
          <w:trHeight w:val="300"/>
        </w:trPr>
        <w:tc>
          <w:tcPr>
            <w:tcW w:w="5200" w:type="dxa"/>
            <w:gridSpan w:val="4"/>
            <w:tcBorders>
              <w:top w:val="nil"/>
              <w:left w:val="nil"/>
              <w:bottom w:val="nil"/>
              <w:right w:val="nil"/>
            </w:tcBorders>
            <w:shd w:val="clear" w:color="auto" w:fill="auto"/>
            <w:noWrap/>
            <w:vAlign w:val="bottom"/>
            <w:hideMark/>
          </w:tcPr>
          <w:p w14:paraId="718AB689"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Other Medicine And Health Sciences</w:t>
            </w:r>
          </w:p>
        </w:tc>
        <w:tc>
          <w:tcPr>
            <w:tcW w:w="1300" w:type="dxa"/>
            <w:tcBorders>
              <w:top w:val="nil"/>
              <w:left w:val="nil"/>
              <w:bottom w:val="nil"/>
              <w:right w:val="nil"/>
            </w:tcBorders>
            <w:shd w:val="clear" w:color="auto" w:fill="auto"/>
            <w:noWrap/>
            <w:vAlign w:val="bottom"/>
            <w:hideMark/>
          </w:tcPr>
          <w:p w14:paraId="7189A21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81B99EE"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5ED1002"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28C00AE"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002F8E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D1308F5"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5240588E" w14:textId="77777777" w:rsidTr="00265DE9">
        <w:trPr>
          <w:trHeight w:val="300"/>
        </w:trPr>
        <w:tc>
          <w:tcPr>
            <w:tcW w:w="1389" w:type="dxa"/>
            <w:tcBorders>
              <w:top w:val="nil"/>
              <w:left w:val="nil"/>
              <w:bottom w:val="nil"/>
              <w:right w:val="nil"/>
            </w:tcBorders>
            <w:shd w:val="clear" w:color="auto" w:fill="auto"/>
            <w:noWrap/>
            <w:vAlign w:val="bottom"/>
            <w:hideMark/>
          </w:tcPr>
          <w:p w14:paraId="063E84F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1063" w:type="dxa"/>
            <w:tcBorders>
              <w:top w:val="nil"/>
              <w:left w:val="nil"/>
              <w:bottom w:val="nil"/>
              <w:right w:val="nil"/>
            </w:tcBorders>
            <w:shd w:val="clear" w:color="auto" w:fill="auto"/>
            <w:noWrap/>
            <w:vAlign w:val="bottom"/>
            <w:hideMark/>
          </w:tcPr>
          <w:p w14:paraId="277FDD7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521" w:type="dxa"/>
            <w:tcBorders>
              <w:top w:val="nil"/>
              <w:left w:val="nil"/>
              <w:bottom w:val="nil"/>
              <w:right w:val="nil"/>
            </w:tcBorders>
            <w:shd w:val="clear" w:color="auto" w:fill="auto"/>
            <w:noWrap/>
            <w:vAlign w:val="bottom"/>
            <w:hideMark/>
          </w:tcPr>
          <w:p w14:paraId="6F60AB25"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227" w:type="dxa"/>
            <w:tcBorders>
              <w:top w:val="nil"/>
              <w:left w:val="nil"/>
              <w:bottom w:val="nil"/>
              <w:right w:val="nil"/>
            </w:tcBorders>
            <w:shd w:val="clear" w:color="auto" w:fill="auto"/>
            <w:noWrap/>
            <w:vAlign w:val="bottom"/>
            <w:hideMark/>
          </w:tcPr>
          <w:p w14:paraId="6A92A71F"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72233B2"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1625E89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757BF4B"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0C52781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52D4D32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49B57B19"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35D900E5" w14:textId="77777777" w:rsidTr="00265DE9">
        <w:trPr>
          <w:trHeight w:val="300"/>
        </w:trPr>
        <w:tc>
          <w:tcPr>
            <w:tcW w:w="1389" w:type="dxa"/>
            <w:tcBorders>
              <w:top w:val="nil"/>
              <w:left w:val="nil"/>
              <w:bottom w:val="nil"/>
              <w:right w:val="nil"/>
            </w:tcBorders>
            <w:shd w:val="clear" w:color="auto" w:fill="auto"/>
            <w:noWrap/>
            <w:vAlign w:val="bottom"/>
            <w:hideMark/>
          </w:tcPr>
          <w:p w14:paraId="09921DB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1063" w:type="dxa"/>
            <w:tcBorders>
              <w:top w:val="nil"/>
              <w:left w:val="nil"/>
              <w:bottom w:val="nil"/>
              <w:right w:val="nil"/>
            </w:tcBorders>
            <w:shd w:val="clear" w:color="auto" w:fill="auto"/>
            <w:noWrap/>
            <w:vAlign w:val="bottom"/>
            <w:hideMark/>
          </w:tcPr>
          <w:p w14:paraId="458A14E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179</w:t>
            </w:r>
          </w:p>
        </w:tc>
        <w:tc>
          <w:tcPr>
            <w:tcW w:w="1521" w:type="dxa"/>
            <w:tcBorders>
              <w:top w:val="nil"/>
              <w:left w:val="nil"/>
              <w:bottom w:val="nil"/>
              <w:right w:val="nil"/>
            </w:tcBorders>
            <w:shd w:val="clear" w:color="auto" w:fill="auto"/>
            <w:noWrap/>
            <w:vAlign w:val="bottom"/>
            <w:hideMark/>
          </w:tcPr>
          <w:p w14:paraId="5D50903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171</w:t>
            </w:r>
          </w:p>
        </w:tc>
        <w:tc>
          <w:tcPr>
            <w:tcW w:w="1227" w:type="dxa"/>
            <w:tcBorders>
              <w:top w:val="nil"/>
              <w:left w:val="nil"/>
              <w:bottom w:val="nil"/>
              <w:right w:val="nil"/>
            </w:tcBorders>
            <w:shd w:val="clear" w:color="auto" w:fill="auto"/>
            <w:noWrap/>
            <w:vAlign w:val="bottom"/>
            <w:hideMark/>
          </w:tcPr>
          <w:p w14:paraId="76B9BE4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0.96</w:t>
            </w:r>
          </w:p>
        </w:tc>
        <w:tc>
          <w:tcPr>
            <w:tcW w:w="1300" w:type="dxa"/>
            <w:tcBorders>
              <w:top w:val="nil"/>
              <w:left w:val="nil"/>
              <w:bottom w:val="nil"/>
              <w:right w:val="nil"/>
            </w:tcBorders>
            <w:shd w:val="clear" w:color="auto" w:fill="auto"/>
            <w:noWrap/>
            <w:vAlign w:val="bottom"/>
            <w:hideMark/>
          </w:tcPr>
          <w:p w14:paraId="4EC5DFB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139</w:t>
            </w:r>
          </w:p>
        </w:tc>
        <w:tc>
          <w:tcPr>
            <w:tcW w:w="1300" w:type="dxa"/>
            <w:tcBorders>
              <w:top w:val="nil"/>
              <w:left w:val="nil"/>
              <w:bottom w:val="nil"/>
              <w:right w:val="nil"/>
            </w:tcBorders>
            <w:shd w:val="clear" w:color="auto" w:fill="auto"/>
            <w:noWrap/>
            <w:vAlign w:val="bottom"/>
            <w:hideMark/>
          </w:tcPr>
          <w:p w14:paraId="1824709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0.78</w:t>
            </w:r>
          </w:p>
        </w:tc>
        <w:tc>
          <w:tcPr>
            <w:tcW w:w="1300" w:type="dxa"/>
            <w:tcBorders>
              <w:top w:val="nil"/>
              <w:left w:val="nil"/>
              <w:bottom w:val="nil"/>
              <w:right w:val="nil"/>
            </w:tcBorders>
            <w:shd w:val="clear" w:color="auto" w:fill="auto"/>
            <w:noWrap/>
            <w:vAlign w:val="bottom"/>
            <w:hideMark/>
          </w:tcPr>
          <w:p w14:paraId="48FFDCB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46</w:t>
            </w:r>
          </w:p>
        </w:tc>
        <w:tc>
          <w:tcPr>
            <w:tcW w:w="1300" w:type="dxa"/>
            <w:tcBorders>
              <w:top w:val="nil"/>
              <w:left w:val="nil"/>
              <w:bottom w:val="nil"/>
              <w:right w:val="nil"/>
            </w:tcBorders>
            <w:shd w:val="clear" w:color="auto" w:fill="auto"/>
            <w:noWrap/>
            <w:vAlign w:val="bottom"/>
            <w:hideMark/>
          </w:tcPr>
          <w:p w14:paraId="1AC266F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0.26</w:t>
            </w:r>
          </w:p>
        </w:tc>
        <w:tc>
          <w:tcPr>
            <w:tcW w:w="1300" w:type="dxa"/>
            <w:tcBorders>
              <w:top w:val="nil"/>
              <w:left w:val="nil"/>
              <w:bottom w:val="nil"/>
              <w:right w:val="nil"/>
            </w:tcBorders>
            <w:shd w:val="clear" w:color="auto" w:fill="auto"/>
            <w:noWrap/>
            <w:vAlign w:val="bottom"/>
            <w:hideMark/>
          </w:tcPr>
          <w:p w14:paraId="2EF4E47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310</w:t>
            </w:r>
          </w:p>
        </w:tc>
        <w:tc>
          <w:tcPr>
            <w:tcW w:w="1300" w:type="dxa"/>
            <w:tcBorders>
              <w:top w:val="nil"/>
              <w:left w:val="nil"/>
              <w:bottom w:val="nil"/>
              <w:right w:val="nil"/>
            </w:tcBorders>
            <w:shd w:val="clear" w:color="auto" w:fill="auto"/>
            <w:noWrap/>
            <w:vAlign w:val="bottom"/>
            <w:hideMark/>
          </w:tcPr>
          <w:p w14:paraId="03ECFE0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1.73</w:t>
            </w:r>
          </w:p>
        </w:tc>
      </w:tr>
      <w:tr w:rsidR="00AC3513" w:rsidRPr="00A03996" w14:paraId="1A562F65" w14:textId="77777777" w:rsidTr="00265DE9">
        <w:trPr>
          <w:trHeight w:val="300"/>
        </w:trPr>
        <w:tc>
          <w:tcPr>
            <w:tcW w:w="1389" w:type="dxa"/>
            <w:tcBorders>
              <w:top w:val="nil"/>
              <w:left w:val="nil"/>
              <w:bottom w:val="nil"/>
              <w:right w:val="nil"/>
            </w:tcBorders>
            <w:shd w:val="clear" w:color="auto" w:fill="auto"/>
            <w:noWrap/>
            <w:vAlign w:val="bottom"/>
            <w:hideMark/>
          </w:tcPr>
          <w:p w14:paraId="6104223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1063" w:type="dxa"/>
            <w:tcBorders>
              <w:top w:val="nil"/>
              <w:left w:val="nil"/>
              <w:bottom w:val="nil"/>
              <w:right w:val="nil"/>
            </w:tcBorders>
            <w:shd w:val="clear" w:color="auto" w:fill="auto"/>
            <w:noWrap/>
            <w:vAlign w:val="bottom"/>
            <w:hideMark/>
          </w:tcPr>
          <w:p w14:paraId="76A072D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64</w:t>
            </w:r>
          </w:p>
        </w:tc>
        <w:tc>
          <w:tcPr>
            <w:tcW w:w="1521" w:type="dxa"/>
            <w:tcBorders>
              <w:top w:val="nil"/>
              <w:left w:val="nil"/>
              <w:bottom w:val="nil"/>
              <w:right w:val="nil"/>
            </w:tcBorders>
            <w:shd w:val="clear" w:color="auto" w:fill="auto"/>
            <w:noWrap/>
            <w:vAlign w:val="bottom"/>
            <w:hideMark/>
          </w:tcPr>
          <w:p w14:paraId="04626F1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49</w:t>
            </w:r>
          </w:p>
        </w:tc>
        <w:tc>
          <w:tcPr>
            <w:tcW w:w="1227" w:type="dxa"/>
            <w:tcBorders>
              <w:top w:val="nil"/>
              <w:left w:val="nil"/>
              <w:bottom w:val="nil"/>
              <w:right w:val="nil"/>
            </w:tcBorders>
            <w:shd w:val="clear" w:color="auto" w:fill="auto"/>
            <w:noWrap/>
            <w:vAlign w:val="bottom"/>
            <w:hideMark/>
          </w:tcPr>
          <w:p w14:paraId="4F4B5AE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0.77</w:t>
            </w:r>
          </w:p>
        </w:tc>
        <w:tc>
          <w:tcPr>
            <w:tcW w:w="1300" w:type="dxa"/>
            <w:tcBorders>
              <w:top w:val="nil"/>
              <w:left w:val="nil"/>
              <w:bottom w:val="nil"/>
              <w:right w:val="nil"/>
            </w:tcBorders>
            <w:shd w:val="clear" w:color="auto" w:fill="auto"/>
            <w:noWrap/>
            <w:vAlign w:val="bottom"/>
            <w:hideMark/>
          </w:tcPr>
          <w:p w14:paraId="18EB429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37</w:t>
            </w:r>
          </w:p>
        </w:tc>
        <w:tc>
          <w:tcPr>
            <w:tcW w:w="1300" w:type="dxa"/>
            <w:tcBorders>
              <w:top w:val="nil"/>
              <w:left w:val="nil"/>
              <w:bottom w:val="nil"/>
              <w:right w:val="nil"/>
            </w:tcBorders>
            <w:shd w:val="clear" w:color="auto" w:fill="auto"/>
            <w:noWrap/>
            <w:vAlign w:val="bottom"/>
            <w:hideMark/>
          </w:tcPr>
          <w:p w14:paraId="14653E5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0.58</w:t>
            </w:r>
          </w:p>
        </w:tc>
        <w:tc>
          <w:tcPr>
            <w:tcW w:w="1300" w:type="dxa"/>
            <w:tcBorders>
              <w:top w:val="nil"/>
              <w:left w:val="nil"/>
              <w:bottom w:val="nil"/>
              <w:right w:val="nil"/>
            </w:tcBorders>
            <w:shd w:val="clear" w:color="auto" w:fill="auto"/>
            <w:noWrap/>
            <w:vAlign w:val="bottom"/>
            <w:hideMark/>
          </w:tcPr>
          <w:p w14:paraId="0B157A0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w:t>
            </w:r>
          </w:p>
        </w:tc>
        <w:tc>
          <w:tcPr>
            <w:tcW w:w="1300" w:type="dxa"/>
            <w:tcBorders>
              <w:top w:val="nil"/>
              <w:left w:val="nil"/>
              <w:bottom w:val="nil"/>
              <w:right w:val="nil"/>
            </w:tcBorders>
            <w:shd w:val="clear" w:color="auto" w:fill="auto"/>
            <w:noWrap/>
            <w:vAlign w:val="bottom"/>
            <w:hideMark/>
          </w:tcPr>
          <w:p w14:paraId="51F64F8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0.11</w:t>
            </w:r>
          </w:p>
        </w:tc>
        <w:tc>
          <w:tcPr>
            <w:tcW w:w="1300" w:type="dxa"/>
            <w:tcBorders>
              <w:top w:val="nil"/>
              <w:left w:val="nil"/>
              <w:bottom w:val="nil"/>
              <w:right w:val="nil"/>
            </w:tcBorders>
            <w:shd w:val="clear" w:color="auto" w:fill="auto"/>
            <w:noWrap/>
            <w:vAlign w:val="bottom"/>
            <w:hideMark/>
          </w:tcPr>
          <w:p w14:paraId="7154EB3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86</w:t>
            </w:r>
          </w:p>
        </w:tc>
        <w:tc>
          <w:tcPr>
            <w:tcW w:w="1300" w:type="dxa"/>
            <w:tcBorders>
              <w:top w:val="nil"/>
              <w:left w:val="nil"/>
              <w:bottom w:val="nil"/>
              <w:right w:val="nil"/>
            </w:tcBorders>
            <w:shd w:val="clear" w:color="auto" w:fill="auto"/>
            <w:noWrap/>
            <w:vAlign w:val="bottom"/>
            <w:hideMark/>
          </w:tcPr>
          <w:p w14:paraId="61D097A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1.34</w:t>
            </w:r>
          </w:p>
        </w:tc>
      </w:tr>
      <w:tr w:rsidR="00AC3513" w:rsidRPr="00A03996" w14:paraId="1EF8E3C1" w14:textId="77777777" w:rsidTr="00265DE9">
        <w:trPr>
          <w:trHeight w:val="300"/>
        </w:trPr>
        <w:tc>
          <w:tcPr>
            <w:tcW w:w="1389" w:type="dxa"/>
            <w:tcBorders>
              <w:top w:val="nil"/>
              <w:left w:val="nil"/>
              <w:bottom w:val="nil"/>
              <w:right w:val="nil"/>
            </w:tcBorders>
            <w:shd w:val="clear" w:color="auto" w:fill="auto"/>
            <w:noWrap/>
            <w:vAlign w:val="bottom"/>
            <w:hideMark/>
          </w:tcPr>
          <w:p w14:paraId="7764EDB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3.LF</w:t>
            </w:r>
          </w:p>
        </w:tc>
        <w:tc>
          <w:tcPr>
            <w:tcW w:w="1063" w:type="dxa"/>
            <w:tcBorders>
              <w:top w:val="nil"/>
              <w:left w:val="nil"/>
              <w:bottom w:val="nil"/>
              <w:right w:val="nil"/>
            </w:tcBorders>
            <w:shd w:val="clear" w:color="auto" w:fill="auto"/>
            <w:noWrap/>
            <w:vAlign w:val="bottom"/>
            <w:hideMark/>
          </w:tcPr>
          <w:p w14:paraId="7601406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55</w:t>
            </w:r>
          </w:p>
        </w:tc>
        <w:tc>
          <w:tcPr>
            <w:tcW w:w="1521" w:type="dxa"/>
            <w:tcBorders>
              <w:top w:val="nil"/>
              <w:left w:val="nil"/>
              <w:bottom w:val="nil"/>
              <w:right w:val="nil"/>
            </w:tcBorders>
            <w:shd w:val="clear" w:color="auto" w:fill="auto"/>
            <w:noWrap/>
            <w:vAlign w:val="bottom"/>
            <w:hideMark/>
          </w:tcPr>
          <w:p w14:paraId="29109A0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60</w:t>
            </w:r>
          </w:p>
        </w:tc>
        <w:tc>
          <w:tcPr>
            <w:tcW w:w="1227" w:type="dxa"/>
            <w:tcBorders>
              <w:top w:val="nil"/>
              <w:left w:val="nil"/>
              <w:bottom w:val="nil"/>
              <w:right w:val="nil"/>
            </w:tcBorders>
            <w:shd w:val="clear" w:color="auto" w:fill="auto"/>
            <w:noWrap/>
            <w:vAlign w:val="bottom"/>
            <w:hideMark/>
          </w:tcPr>
          <w:p w14:paraId="7CF25DC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1.09</w:t>
            </w:r>
          </w:p>
        </w:tc>
        <w:tc>
          <w:tcPr>
            <w:tcW w:w="1300" w:type="dxa"/>
            <w:tcBorders>
              <w:top w:val="nil"/>
              <w:left w:val="nil"/>
              <w:bottom w:val="nil"/>
              <w:right w:val="nil"/>
            </w:tcBorders>
            <w:shd w:val="clear" w:color="auto" w:fill="auto"/>
            <w:noWrap/>
            <w:vAlign w:val="bottom"/>
            <w:hideMark/>
          </w:tcPr>
          <w:p w14:paraId="7903931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48</w:t>
            </w:r>
          </w:p>
        </w:tc>
        <w:tc>
          <w:tcPr>
            <w:tcW w:w="1300" w:type="dxa"/>
            <w:tcBorders>
              <w:top w:val="nil"/>
              <w:left w:val="nil"/>
              <w:bottom w:val="nil"/>
              <w:right w:val="nil"/>
            </w:tcBorders>
            <w:shd w:val="clear" w:color="auto" w:fill="auto"/>
            <w:noWrap/>
            <w:vAlign w:val="bottom"/>
            <w:hideMark/>
          </w:tcPr>
          <w:p w14:paraId="192E115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0.87</w:t>
            </w:r>
          </w:p>
        </w:tc>
        <w:tc>
          <w:tcPr>
            <w:tcW w:w="1300" w:type="dxa"/>
            <w:tcBorders>
              <w:top w:val="nil"/>
              <w:left w:val="nil"/>
              <w:bottom w:val="nil"/>
              <w:right w:val="nil"/>
            </w:tcBorders>
            <w:shd w:val="clear" w:color="auto" w:fill="auto"/>
            <w:noWrap/>
            <w:vAlign w:val="bottom"/>
            <w:hideMark/>
          </w:tcPr>
          <w:p w14:paraId="175C6E4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4FFE952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0.02</w:t>
            </w:r>
          </w:p>
        </w:tc>
        <w:tc>
          <w:tcPr>
            <w:tcW w:w="1300" w:type="dxa"/>
            <w:tcBorders>
              <w:top w:val="nil"/>
              <w:left w:val="nil"/>
              <w:bottom w:val="nil"/>
              <w:right w:val="nil"/>
            </w:tcBorders>
            <w:shd w:val="clear" w:color="auto" w:fill="auto"/>
            <w:noWrap/>
            <w:vAlign w:val="bottom"/>
            <w:hideMark/>
          </w:tcPr>
          <w:p w14:paraId="74AD7F7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108</w:t>
            </w:r>
          </w:p>
        </w:tc>
        <w:tc>
          <w:tcPr>
            <w:tcW w:w="1300" w:type="dxa"/>
            <w:tcBorders>
              <w:top w:val="nil"/>
              <w:left w:val="nil"/>
              <w:bottom w:val="nil"/>
              <w:right w:val="nil"/>
            </w:tcBorders>
            <w:shd w:val="clear" w:color="auto" w:fill="auto"/>
            <w:noWrap/>
            <w:vAlign w:val="bottom"/>
            <w:hideMark/>
          </w:tcPr>
          <w:p w14:paraId="3F00DBB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1.96</w:t>
            </w:r>
          </w:p>
        </w:tc>
      </w:tr>
      <w:tr w:rsidR="00AC3513" w:rsidRPr="00A03996" w14:paraId="5ECF7708" w14:textId="77777777" w:rsidTr="00265DE9">
        <w:trPr>
          <w:trHeight w:val="300"/>
        </w:trPr>
        <w:tc>
          <w:tcPr>
            <w:tcW w:w="1389" w:type="dxa"/>
            <w:tcBorders>
              <w:top w:val="nil"/>
              <w:left w:val="nil"/>
              <w:bottom w:val="nil"/>
              <w:right w:val="nil"/>
            </w:tcBorders>
            <w:shd w:val="clear" w:color="auto" w:fill="auto"/>
            <w:noWrap/>
            <w:vAlign w:val="bottom"/>
            <w:hideMark/>
          </w:tcPr>
          <w:p w14:paraId="4D461D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lastRenderedPageBreak/>
              <w:t>FTVS</w:t>
            </w:r>
          </w:p>
        </w:tc>
        <w:tc>
          <w:tcPr>
            <w:tcW w:w="1063" w:type="dxa"/>
            <w:tcBorders>
              <w:top w:val="nil"/>
              <w:left w:val="nil"/>
              <w:bottom w:val="nil"/>
              <w:right w:val="nil"/>
            </w:tcBorders>
            <w:shd w:val="clear" w:color="auto" w:fill="auto"/>
            <w:noWrap/>
            <w:vAlign w:val="bottom"/>
            <w:hideMark/>
          </w:tcPr>
          <w:p w14:paraId="15E304C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44</w:t>
            </w:r>
          </w:p>
        </w:tc>
        <w:tc>
          <w:tcPr>
            <w:tcW w:w="1521" w:type="dxa"/>
            <w:tcBorders>
              <w:top w:val="nil"/>
              <w:left w:val="nil"/>
              <w:bottom w:val="nil"/>
              <w:right w:val="nil"/>
            </w:tcBorders>
            <w:shd w:val="clear" w:color="auto" w:fill="auto"/>
            <w:noWrap/>
            <w:vAlign w:val="bottom"/>
            <w:hideMark/>
          </w:tcPr>
          <w:p w14:paraId="413A687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w:t>
            </w:r>
          </w:p>
        </w:tc>
        <w:tc>
          <w:tcPr>
            <w:tcW w:w="1227" w:type="dxa"/>
            <w:tcBorders>
              <w:top w:val="nil"/>
              <w:left w:val="nil"/>
              <w:bottom w:val="nil"/>
              <w:right w:val="nil"/>
            </w:tcBorders>
            <w:shd w:val="clear" w:color="auto" w:fill="auto"/>
            <w:noWrap/>
            <w:vAlign w:val="bottom"/>
            <w:hideMark/>
          </w:tcPr>
          <w:p w14:paraId="78C726F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0.44</w:t>
            </w:r>
          </w:p>
        </w:tc>
        <w:tc>
          <w:tcPr>
            <w:tcW w:w="1300" w:type="dxa"/>
            <w:tcBorders>
              <w:top w:val="nil"/>
              <w:left w:val="nil"/>
              <w:bottom w:val="nil"/>
              <w:right w:val="nil"/>
            </w:tcBorders>
            <w:shd w:val="clear" w:color="auto" w:fill="auto"/>
            <w:noWrap/>
            <w:vAlign w:val="bottom"/>
            <w:hideMark/>
          </w:tcPr>
          <w:p w14:paraId="0B300F8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w:t>
            </w:r>
          </w:p>
        </w:tc>
        <w:tc>
          <w:tcPr>
            <w:tcW w:w="1300" w:type="dxa"/>
            <w:tcBorders>
              <w:top w:val="nil"/>
              <w:left w:val="nil"/>
              <w:bottom w:val="nil"/>
              <w:right w:val="nil"/>
            </w:tcBorders>
            <w:shd w:val="clear" w:color="auto" w:fill="auto"/>
            <w:noWrap/>
            <w:vAlign w:val="bottom"/>
            <w:hideMark/>
          </w:tcPr>
          <w:p w14:paraId="4DD18B6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0.62</w:t>
            </w:r>
          </w:p>
        </w:tc>
        <w:tc>
          <w:tcPr>
            <w:tcW w:w="1300" w:type="dxa"/>
            <w:tcBorders>
              <w:top w:val="nil"/>
              <w:left w:val="nil"/>
              <w:bottom w:val="nil"/>
              <w:right w:val="nil"/>
            </w:tcBorders>
            <w:shd w:val="clear" w:color="auto" w:fill="auto"/>
            <w:noWrap/>
            <w:vAlign w:val="bottom"/>
            <w:hideMark/>
          </w:tcPr>
          <w:p w14:paraId="7ADEFAC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w:t>
            </w:r>
          </w:p>
        </w:tc>
        <w:tc>
          <w:tcPr>
            <w:tcW w:w="1300" w:type="dxa"/>
            <w:tcBorders>
              <w:top w:val="nil"/>
              <w:left w:val="nil"/>
              <w:bottom w:val="nil"/>
              <w:right w:val="nil"/>
            </w:tcBorders>
            <w:shd w:val="clear" w:color="auto" w:fill="auto"/>
            <w:noWrap/>
            <w:vAlign w:val="bottom"/>
            <w:hideMark/>
          </w:tcPr>
          <w:p w14:paraId="5747EC9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0.05</w:t>
            </w:r>
          </w:p>
        </w:tc>
        <w:tc>
          <w:tcPr>
            <w:tcW w:w="1300" w:type="dxa"/>
            <w:tcBorders>
              <w:top w:val="nil"/>
              <w:left w:val="nil"/>
              <w:bottom w:val="nil"/>
              <w:right w:val="nil"/>
            </w:tcBorders>
            <w:shd w:val="clear" w:color="auto" w:fill="auto"/>
            <w:noWrap/>
            <w:vAlign w:val="bottom"/>
            <w:hideMark/>
          </w:tcPr>
          <w:p w14:paraId="7D4BB17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46</w:t>
            </w:r>
          </w:p>
        </w:tc>
        <w:tc>
          <w:tcPr>
            <w:tcW w:w="1300" w:type="dxa"/>
            <w:tcBorders>
              <w:top w:val="nil"/>
              <w:left w:val="nil"/>
              <w:bottom w:val="nil"/>
              <w:right w:val="nil"/>
            </w:tcBorders>
            <w:shd w:val="clear" w:color="auto" w:fill="auto"/>
            <w:noWrap/>
            <w:vAlign w:val="bottom"/>
            <w:hideMark/>
          </w:tcPr>
          <w:p w14:paraId="5BE4424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1.06</w:t>
            </w:r>
          </w:p>
        </w:tc>
      </w:tr>
      <w:tr w:rsidR="00AC3513" w:rsidRPr="00A03996" w14:paraId="7595794C" w14:textId="77777777" w:rsidTr="00265DE9">
        <w:trPr>
          <w:trHeight w:val="300"/>
        </w:trPr>
        <w:tc>
          <w:tcPr>
            <w:tcW w:w="1389" w:type="dxa"/>
            <w:tcBorders>
              <w:top w:val="nil"/>
              <w:left w:val="nil"/>
              <w:bottom w:val="nil"/>
              <w:right w:val="nil"/>
            </w:tcBorders>
            <w:shd w:val="clear" w:color="auto" w:fill="auto"/>
            <w:noWrap/>
            <w:vAlign w:val="bottom"/>
            <w:hideMark/>
          </w:tcPr>
          <w:p w14:paraId="5816548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1063" w:type="dxa"/>
            <w:tcBorders>
              <w:top w:val="nil"/>
              <w:left w:val="nil"/>
              <w:bottom w:val="nil"/>
              <w:right w:val="nil"/>
            </w:tcBorders>
            <w:shd w:val="clear" w:color="auto" w:fill="auto"/>
            <w:noWrap/>
            <w:vAlign w:val="bottom"/>
            <w:hideMark/>
          </w:tcPr>
          <w:p w14:paraId="6BB6C5F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41</w:t>
            </w:r>
          </w:p>
        </w:tc>
        <w:tc>
          <w:tcPr>
            <w:tcW w:w="1521" w:type="dxa"/>
            <w:tcBorders>
              <w:top w:val="nil"/>
              <w:left w:val="nil"/>
              <w:bottom w:val="nil"/>
              <w:right w:val="nil"/>
            </w:tcBorders>
            <w:shd w:val="clear" w:color="auto" w:fill="auto"/>
            <w:noWrap/>
            <w:vAlign w:val="bottom"/>
            <w:hideMark/>
          </w:tcPr>
          <w:p w14:paraId="5DD4A0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22</w:t>
            </w:r>
          </w:p>
        </w:tc>
        <w:tc>
          <w:tcPr>
            <w:tcW w:w="1227" w:type="dxa"/>
            <w:tcBorders>
              <w:top w:val="nil"/>
              <w:left w:val="nil"/>
              <w:bottom w:val="nil"/>
              <w:right w:val="nil"/>
            </w:tcBorders>
            <w:shd w:val="clear" w:color="auto" w:fill="auto"/>
            <w:noWrap/>
            <w:vAlign w:val="bottom"/>
            <w:hideMark/>
          </w:tcPr>
          <w:p w14:paraId="41106D0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0.54</w:t>
            </w:r>
          </w:p>
        </w:tc>
        <w:tc>
          <w:tcPr>
            <w:tcW w:w="1300" w:type="dxa"/>
            <w:tcBorders>
              <w:top w:val="nil"/>
              <w:left w:val="nil"/>
              <w:bottom w:val="nil"/>
              <w:right w:val="nil"/>
            </w:tcBorders>
            <w:shd w:val="clear" w:color="auto" w:fill="auto"/>
            <w:noWrap/>
            <w:vAlign w:val="bottom"/>
            <w:hideMark/>
          </w:tcPr>
          <w:p w14:paraId="2E3296B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56</w:t>
            </w:r>
          </w:p>
        </w:tc>
        <w:tc>
          <w:tcPr>
            <w:tcW w:w="1300" w:type="dxa"/>
            <w:tcBorders>
              <w:top w:val="nil"/>
              <w:left w:val="nil"/>
              <w:bottom w:val="nil"/>
              <w:right w:val="nil"/>
            </w:tcBorders>
            <w:shd w:val="clear" w:color="auto" w:fill="auto"/>
            <w:noWrap/>
            <w:vAlign w:val="bottom"/>
            <w:hideMark/>
          </w:tcPr>
          <w:p w14:paraId="65CD55D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1.38</w:t>
            </w:r>
          </w:p>
        </w:tc>
        <w:tc>
          <w:tcPr>
            <w:tcW w:w="1300" w:type="dxa"/>
            <w:tcBorders>
              <w:top w:val="nil"/>
              <w:left w:val="nil"/>
              <w:bottom w:val="nil"/>
              <w:right w:val="nil"/>
            </w:tcBorders>
            <w:shd w:val="clear" w:color="auto" w:fill="auto"/>
            <w:noWrap/>
            <w:vAlign w:val="bottom"/>
            <w:hideMark/>
          </w:tcPr>
          <w:p w14:paraId="1162945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0DE082E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0.00</w:t>
            </w:r>
          </w:p>
        </w:tc>
        <w:tc>
          <w:tcPr>
            <w:tcW w:w="1300" w:type="dxa"/>
            <w:tcBorders>
              <w:top w:val="nil"/>
              <w:left w:val="nil"/>
              <w:bottom w:val="nil"/>
              <w:right w:val="nil"/>
            </w:tcBorders>
            <w:shd w:val="clear" w:color="auto" w:fill="auto"/>
            <w:noWrap/>
            <w:vAlign w:val="bottom"/>
            <w:hideMark/>
          </w:tcPr>
          <w:p w14:paraId="790B8AF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78</w:t>
            </w:r>
          </w:p>
        </w:tc>
        <w:tc>
          <w:tcPr>
            <w:tcW w:w="1300" w:type="dxa"/>
            <w:tcBorders>
              <w:top w:val="nil"/>
              <w:left w:val="nil"/>
              <w:bottom w:val="nil"/>
              <w:right w:val="nil"/>
            </w:tcBorders>
            <w:shd w:val="clear" w:color="auto" w:fill="auto"/>
            <w:noWrap/>
            <w:vAlign w:val="bottom"/>
            <w:hideMark/>
          </w:tcPr>
          <w:p w14:paraId="4ADF5A3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1.93</w:t>
            </w:r>
          </w:p>
        </w:tc>
      </w:tr>
      <w:tr w:rsidR="00AC3513" w:rsidRPr="00A03996" w14:paraId="3AA42685" w14:textId="77777777" w:rsidTr="00265DE9">
        <w:trPr>
          <w:trHeight w:val="300"/>
        </w:trPr>
        <w:tc>
          <w:tcPr>
            <w:tcW w:w="1389" w:type="dxa"/>
            <w:tcBorders>
              <w:top w:val="nil"/>
              <w:left w:val="nil"/>
              <w:bottom w:val="nil"/>
              <w:right w:val="nil"/>
            </w:tcBorders>
            <w:shd w:val="clear" w:color="auto" w:fill="auto"/>
            <w:noWrap/>
            <w:vAlign w:val="bottom"/>
            <w:hideMark/>
          </w:tcPr>
          <w:p w14:paraId="025B601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1063" w:type="dxa"/>
            <w:tcBorders>
              <w:top w:val="nil"/>
              <w:left w:val="nil"/>
              <w:bottom w:val="nil"/>
              <w:right w:val="nil"/>
            </w:tcBorders>
            <w:shd w:val="clear" w:color="auto" w:fill="auto"/>
            <w:noWrap/>
            <w:vAlign w:val="bottom"/>
            <w:hideMark/>
          </w:tcPr>
          <w:p w14:paraId="0681C8B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34</w:t>
            </w:r>
          </w:p>
        </w:tc>
        <w:tc>
          <w:tcPr>
            <w:tcW w:w="1521" w:type="dxa"/>
            <w:tcBorders>
              <w:top w:val="nil"/>
              <w:left w:val="nil"/>
              <w:bottom w:val="nil"/>
              <w:right w:val="nil"/>
            </w:tcBorders>
            <w:shd w:val="clear" w:color="auto" w:fill="auto"/>
            <w:noWrap/>
            <w:vAlign w:val="bottom"/>
            <w:hideMark/>
          </w:tcPr>
          <w:p w14:paraId="3BFCF79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33</w:t>
            </w:r>
          </w:p>
        </w:tc>
        <w:tc>
          <w:tcPr>
            <w:tcW w:w="1227" w:type="dxa"/>
            <w:tcBorders>
              <w:top w:val="nil"/>
              <w:left w:val="nil"/>
              <w:bottom w:val="nil"/>
              <w:right w:val="nil"/>
            </w:tcBorders>
            <w:shd w:val="clear" w:color="auto" w:fill="auto"/>
            <w:noWrap/>
            <w:vAlign w:val="bottom"/>
            <w:hideMark/>
          </w:tcPr>
          <w:p w14:paraId="72B2F25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0.98</w:t>
            </w:r>
          </w:p>
        </w:tc>
        <w:tc>
          <w:tcPr>
            <w:tcW w:w="1300" w:type="dxa"/>
            <w:tcBorders>
              <w:top w:val="nil"/>
              <w:left w:val="nil"/>
              <w:bottom w:val="nil"/>
              <w:right w:val="nil"/>
            </w:tcBorders>
            <w:shd w:val="clear" w:color="auto" w:fill="auto"/>
            <w:noWrap/>
            <w:vAlign w:val="bottom"/>
            <w:hideMark/>
          </w:tcPr>
          <w:p w14:paraId="5607379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29</w:t>
            </w:r>
          </w:p>
        </w:tc>
        <w:tc>
          <w:tcPr>
            <w:tcW w:w="1300" w:type="dxa"/>
            <w:tcBorders>
              <w:top w:val="nil"/>
              <w:left w:val="nil"/>
              <w:bottom w:val="nil"/>
              <w:right w:val="nil"/>
            </w:tcBorders>
            <w:shd w:val="clear" w:color="auto" w:fill="auto"/>
            <w:noWrap/>
            <w:vAlign w:val="bottom"/>
            <w:hideMark/>
          </w:tcPr>
          <w:p w14:paraId="6DEC62C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0.86</w:t>
            </w:r>
          </w:p>
        </w:tc>
        <w:tc>
          <w:tcPr>
            <w:tcW w:w="1300" w:type="dxa"/>
            <w:tcBorders>
              <w:top w:val="nil"/>
              <w:left w:val="nil"/>
              <w:bottom w:val="nil"/>
              <w:right w:val="nil"/>
            </w:tcBorders>
            <w:shd w:val="clear" w:color="auto" w:fill="auto"/>
            <w:noWrap/>
            <w:vAlign w:val="bottom"/>
            <w:hideMark/>
          </w:tcPr>
          <w:p w14:paraId="20979FE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w:t>
            </w:r>
          </w:p>
        </w:tc>
        <w:tc>
          <w:tcPr>
            <w:tcW w:w="1300" w:type="dxa"/>
            <w:tcBorders>
              <w:top w:val="nil"/>
              <w:left w:val="nil"/>
              <w:bottom w:val="nil"/>
              <w:right w:val="nil"/>
            </w:tcBorders>
            <w:shd w:val="clear" w:color="auto" w:fill="auto"/>
            <w:noWrap/>
            <w:vAlign w:val="bottom"/>
            <w:hideMark/>
          </w:tcPr>
          <w:p w14:paraId="73DF235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525B64B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62</w:t>
            </w:r>
          </w:p>
        </w:tc>
        <w:tc>
          <w:tcPr>
            <w:tcW w:w="1300" w:type="dxa"/>
            <w:tcBorders>
              <w:top w:val="nil"/>
              <w:left w:val="nil"/>
              <w:bottom w:val="nil"/>
              <w:right w:val="nil"/>
            </w:tcBorders>
            <w:shd w:val="clear" w:color="auto" w:fill="auto"/>
            <w:noWrap/>
            <w:vAlign w:val="bottom"/>
            <w:hideMark/>
          </w:tcPr>
          <w:p w14:paraId="1733D5F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1.83</w:t>
            </w:r>
          </w:p>
        </w:tc>
      </w:tr>
      <w:tr w:rsidR="00AC3513" w:rsidRPr="00A03996" w14:paraId="21A45D9C" w14:textId="77777777" w:rsidTr="00265DE9">
        <w:trPr>
          <w:trHeight w:val="300"/>
        </w:trPr>
        <w:tc>
          <w:tcPr>
            <w:tcW w:w="1389" w:type="dxa"/>
            <w:tcBorders>
              <w:top w:val="nil"/>
              <w:left w:val="nil"/>
              <w:bottom w:val="nil"/>
              <w:right w:val="nil"/>
            </w:tcBorders>
            <w:shd w:val="clear" w:color="auto" w:fill="auto"/>
            <w:noWrap/>
            <w:vAlign w:val="bottom"/>
            <w:hideMark/>
          </w:tcPr>
          <w:p w14:paraId="46668239" w14:textId="77777777" w:rsidR="00AC3513" w:rsidRPr="00A03996" w:rsidRDefault="00AC3513" w:rsidP="00265DE9">
            <w:pPr>
              <w:spacing w:after="0" w:line="240" w:lineRule="auto"/>
              <w:rPr>
                <w:rFonts w:eastAsia="Times New Roman"/>
                <w:color w:val="000000"/>
                <w:sz w:val="24"/>
                <w:szCs w:val="24"/>
                <w:lang w:val="en-GB"/>
              </w:rPr>
            </w:pPr>
          </w:p>
        </w:tc>
        <w:tc>
          <w:tcPr>
            <w:tcW w:w="1063" w:type="dxa"/>
            <w:tcBorders>
              <w:top w:val="nil"/>
              <w:left w:val="nil"/>
              <w:bottom w:val="nil"/>
              <w:right w:val="nil"/>
            </w:tcBorders>
            <w:shd w:val="clear" w:color="auto" w:fill="auto"/>
            <w:noWrap/>
            <w:vAlign w:val="bottom"/>
            <w:hideMark/>
          </w:tcPr>
          <w:p w14:paraId="659EB09A" w14:textId="77777777" w:rsidR="00AC3513" w:rsidRPr="00A03996" w:rsidRDefault="00AC3513" w:rsidP="00265DE9">
            <w:pPr>
              <w:spacing w:after="0" w:line="240" w:lineRule="auto"/>
              <w:rPr>
                <w:rFonts w:eastAsia="Times New Roman"/>
                <w:color w:val="000000"/>
                <w:sz w:val="24"/>
                <w:szCs w:val="24"/>
                <w:lang w:val="en-GB"/>
              </w:rPr>
            </w:pPr>
          </w:p>
        </w:tc>
        <w:tc>
          <w:tcPr>
            <w:tcW w:w="1521" w:type="dxa"/>
            <w:tcBorders>
              <w:top w:val="nil"/>
              <w:left w:val="nil"/>
              <w:bottom w:val="nil"/>
              <w:right w:val="nil"/>
            </w:tcBorders>
            <w:shd w:val="clear" w:color="auto" w:fill="auto"/>
            <w:noWrap/>
            <w:vAlign w:val="bottom"/>
            <w:hideMark/>
          </w:tcPr>
          <w:p w14:paraId="13E9F35E" w14:textId="77777777" w:rsidR="00AC3513" w:rsidRPr="00A03996" w:rsidRDefault="00AC3513" w:rsidP="00265DE9">
            <w:pPr>
              <w:spacing w:after="0" w:line="240" w:lineRule="auto"/>
              <w:rPr>
                <w:rFonts w:eastAsia="Times New Roman"/>
                <w:color w:val="000000"/>
                <w:sz w:val="24"/>
                <w:szCs w:val="24"/>
                <w:lang w:val="en-GB"/>
              </w:rPr>
            </w:pPr>
          </w:p>
        </w:tc>
        <w:tc>
          <w:tcPr>
            <w:tcW w:w="1227" w:type="dxa"/>
            <w:tcBorders>
              <w:top w:val="nil"/>
              <w:left w:val="nil"/>
              <w:bottom w:val="nil"/>
              <w:right w:val="nil"/>
            </w:tcBorders>
            <w:shd w:val="clear" w:color="auto" w:fill="auto"/>
            <w:noWrap/>
            <w:vAlign w:val="bottom"/>
            <w:hideMark/>
          </w:tcPr>
          <w:p w14:paraId="112A147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165F3534"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D88D2EC"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65108910"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46672924"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EA22D5B"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EB2EFC0" w14:textId="77777777" w:rsidR="00AC3513" w:rsidRPr="00A03996" w:rsidRDefault="00AC3513" w:rsidP="00265DE9">
            <w:pPr>
              <w:spacing w:after="0" w:line="240" w:lineRule="auto"/>
              <w:rPr>
                <w:rFonts w:eastAsia="Times New Roman"/>
                <w:color w:val="000000"/>
                <w:sz w:val="24"/>
                <w:szCs w:val="24"/>
                <w:lang w:val="en-GB"/>
              </w:rPr>
            </w:pPr>
          </w:p>
        </w:tc>
      </w:tr>
    </w:tbl>
    <w:p w14:paraId="39A800BD" w14:textId="77777777" w:rsidR="00AC3513" w:rsidRDefault="00AC3513" w:rsidP="00AC3513">
      <w:pPr>
        <w:spacing w:after="0" w:line="360" w:lineRule="auto"/>
        <w:ind w:left="1080" w:hanging="1080"/>
        <w:jc w:val="both"/>
        <w:rPr>
          <w:rFonts w:ascii="Times New Roman" w:hAnsi="Times New Roman"/>
          <w:b/>
          <w:bCs/>
          <w:sz w:val="24"/>
          <w:szCs w:val="24"/>
          <w:lang w:val="en-GB"/>
        </w:rPr>
      </w:pPr>
    </w:p>
    <w:p w14:paraId="7D312F0B" w14:textId="77777777" w:rsidR="00AC3513" w:rsidRDefault="00AC3513" w:rsidP="00AC3513">
      <w:pPr>
        <w:spacing w:after="0" w:line="360" w:lineRule="auto"/>
        <w:ind w:left="1080" w:hanging="1080"/>
        <w:jc w:val="both"/>
        <w:rPr>
          <w:rFonts w:ascii="Times New Roman" w:hAnsi="Times New Roman"/>
          <w:b/>
          <w:bCs/>
          <w:sz w:val="24"/>
          <w:szCs w:val="24"/>
          <w:lang w:val="en-GB"/>
        </w:rPr>
      </w:pPr>
      <w:r w:rsidRPr="00E31BF7">
        <w:rPr>
          <w:rFonts w:ascii="Helvetica" w:hAnsi="Helvetica" w:cs="Helvetica"/>
          <w:noProof/>
          <w:sz w:val="32"/>
          <w:szCs w:val="32"/>
          <w:lang w:eastAsia="cs-CZ"/>
        </w:rPr>
        <w:drawing>
          <wp:inline distT="0" distB="0" distL="0" distR="0" wp14:anchorId="72F1C62D" wp14:editId="404C9EEA">
            <wp:extent cx="6400800" cy="4114800"/>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7D1F76D0" w14:textId="77777777" w:rsidR="009C4A67" w:rsidRDefault="009C4A67" w:rsidP="009C4A67">
      <w:pPr>
        <w:spacing w:after="0" w:line="360" w:lineRule="auto"/>
        <w:ind w:left="1080" w:hanging="1080"/>
        <w:jc w:val="both"/>
        <w:rPr>
          <w:rFonts w:ascii="Times New Roman" w:hAnsi="Times New Roman"/>
          <w:b/>
          <w:bCs/>
          <w:sz w:val="24"/>
          <w:szCs w:val="24"/>
          <w:lang w:val="en-GB"/>
        </w:rPr>
      </w:pPr>
      <w:r w:rsidRPr="00AC72BF">
        <w:rPr>
          <w:rFonts w:ascii="Times New Roman" w:hAnsi="Times New Roman"/>
          <w:b/>
          <w:bCs/>
          <w:sz w:val="24"/>
          <w:szCs w:val="24"/>
          <w:lang w:val="en-GB"/>
        </w:rPr>
        <w:t>The interpretation  is also biased by the caveat 1 with low proportion of major authors shares, which migh benefit the the average papers/author</w:t>
      </w:r>
      <w:r>
        <w:rPr>
          <w:rFonts w:ascii="Times New Roman" w:hAnsi="Times New Roman"/>
          <w:b/>
          <w:bCs/>
          <w:sz w:val="24"/>
          <w:szCs w:val="24"/>
          <w:lang w:val="en-GB"/>
        </w:rPr>
        <w:t xml:space="preserve"> ratio</w:t>
      </w:r>
      <w:r w:rsidRPr="00AC72BF">
        <w:rPr>
          <w:rFonts w:ascii="Times New Roman" w:hAnsi="Times New Roman"/>
          <w:b/>
          <w:bCs/>
          <w:sz w:val="24"/>
          <w:szCs w:val="24"/>
          <w:lang w:val="en-GB"/>
        </w:rPr>
        <w:t>.</w:t>
      </w:r>
    </w:p>
    <w:p w14:paraId="62E6B7C6" w14:textId="77777777" w:rsidR="00AC3513" w:rsidRDefault="00AC3513" w:rsidP="00AC3513">
      <w:pPr>
        <w:spacing w:after="0" w:line="360" w:lineRule="auto"/>
        <w:ind w:left="1080" w:hanging="1080"/>
        <w:jc w:val="both"/>
        <w:rPr>
          <w:rFonts w:ascii="Times New Roman" w:hAnsi="Times New Roman"/>
          <w:b/>
          <w:bCs/>
          <w:sz w:val="24"/>
          <w:szCs w:val="24"/>
          <w:lang w:val="en-GB"/>
        </w:rPr>
      </w:pPr>
    </w:p>
    <w:tbl>
      <w:tblPr>
        <w:tblW w:w="13000" w:type="dxa"/>
        <w:tblInd w:w="93" w:type="dxa"/>
        <w:tblLook w:val="04A0" w:firstRow="1" w:lastRow="0" w:firstColumn="1" w:lastColumn="0" w:noHBand="0" w:noVBand="1"/>
      </w:tblPr>
      <w:tblGrid>
        <w:gridCol w:w="1637"/>
        <w:gridCol w:w="931"/>
        <w:gridCol w:w="1332"/>
        <w:gridCol w:w="1300"/>
        <w:gridCol w:w="1300"/>
        <w:gridCol w:w="1300"/>
        <w:gridCol w:w="1300"/>
        <w:gridCol w:w="1300"/>
        <w:gridCol w:w="1300"/>
        <w:gridCol w:w="1300"/>
      </w:tblGrid>
      <w:tr w:rsidR="00AC3513" w:rsidRPr="00A03996" w14:paraId="320367B2" w14:textId="77777777" w:rsidTr="00265DE9">
        <w:trPr>
          <w:trHeight w:val="300"/>
        </w:trPr>
        <w:tc>
          <w:tcPr>
            <w:tcW w:w="3900" w:type="dxa"/>
            <w:gridSpan w:val="3"/>
            <w:tcBorders>
              <w:top w:val="nil"/>
              <w:left w:val="nil"/>
              <w:bottom w:val="nil"/>
              <w:right w:val="nil"/>
            </w:tcBorders>
            <w:shd w:val="clear" w:color="auto" w:fill="auto"/>
            <w:noWrap/>
            <w:vAlign w:val="bottom"/>
            <w:hideMark/>
          </w:tcPr>
          <w:p w14:paraId="4FBDBDBE" w14:textId="77777777" w:rsidR="00AC3513" w:rsidRPr="00A03996" w:rsidRDefault="00AC3513" w:rsidP="00265DE9">
            <w:pPr>
              <w:spacing w:after="0" w:line="240" w:lineRule="auto"/>
              <w:rPr>
                <w:rFonts w:eastAsia="Times New Roman"/>
                <w:b/>
                <w:color w:val="000000"/>
                <w:sz w:val="24"/>
                <w:szCs w:val="24"/>
                <w:lang w:val="en-GB"/>
              </w:rPr>
            </w:pPr>
            <w:r w:rsidRPr="00A03996">
              <w:rPr>
                <w:rFonts w:eastAsia="Times New Roman"/>
                <w:b/>
                <w:color w:val="000000"/>
                <w:sz w:val="24"/>
                <w:szCs w:val="24"/>
                <w:lang w:val="en-GB"/>
              </w:rPr>
              <w:t>CUNI Field: Pharmacy And Toxicol</w:t>
            </w:r>
            <w:r>
              <w:rPr>
                <w:rFonts w:eastAsia="Times New Roman"/>
                <w:b/>
                <w:color w:val="000000"/>
                <w:sz w:val="24"/>
                <w:szCs w:val="24"/>
                <w:lang w:val="en-GB"/>
              </w:rPr>
              <w:t>o</w:t>
            </w:r>
            <w:r w:rsidRPr="00A03996">
              <w:rPr>
                <w:rFonts w:eastAsia="Times New Roman"/>
                <w:b/>
                <w:color w:val="000000"/>
                <w:sz w:val="24"/>
                <w:szCs w:val="24"/>
                <w:lang w:val="en-GB"/>
              </w:rPr>
              <w:t>gy</w:t>
            </w:r>
          </w:p>
        </w:tc>
        <w:tc>
          <w:tcPr>
            <w:tcW w:w="1300" w:type="dxa"/>
            <w:tcBorders>
              <w:top w:val="nil"/>
              <w:left w:val="nil"/>
              <w:bottom w:val="nil"/>
              <w:right w:val="nil"/>
            </w:tcBorders>
            <w:shd w:val="clear" w:color="auto" w:fill="auto"/>
            <w:noWrap/>
            <w:vAlign w:val="bottom"/>
            <w:hideMark/>
          </w:tcPr>
          <w:p w14:paraId="3D250A53"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109E5FF"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C94B4C"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C5A460D"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E3E3758"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DDDD8D" w14:textId="77777777" w:rsidR="00AC3513" w:rsidRPr="00A03996" w:rsidRDefault="00AC3513" w:rsidP="00265DE9">
            <w:pPr>
              <w:spacing w:after="0" w:line="240" w:lineRule="auto"/>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1890EA3" w14:textId="77777777" w:rsidR="00AC3513" w:rsidRPr="00A03996" w:rsidRDefault="00AC3513" w:rsidP="00265DE9">
            <w:pPr>
              <w:spacing w:after="0" w:line="240" w:lineRule="auto"/>
              <w:rPr>
                <w:rFonts w:eastAsia="Times New Roman"/>
                <w:color w:val="000000"/>
                <w:sz w:val="24"/>
                <w:szCs w:val="24"/>
                <w:lang w:val="en-GB"/>
              </w:rPr>
            </w:pPr>
          </w:p>
        </w:tc>
      </w:tr>
      <w:tr w:rsidR="00AC3513" w:rsidRPr="00A03996" w14:paraId="11C0972C" w14:textId="77777777" w:rsidTr="00265DE9">
        <w:trPr>
          <w:trHeight w:val="300"/>
        </w:trPr>
        <w:tc>
          <w:tcPr>
            <w:tcW w:w="1637" w:type="dxa"/>
            <w:tcBorders>
              <w:top w:val="nil"/>
              <w:left w:val="nil"/>
              <w:bottom w:val="nil"/>
              <w:right w:val="nil"/>
            </w:tcBorders>
            <w:shd w:val="clear" w:color="auto" w:fill="auto"/>
            <w:noWrap/>
            <w:vAlign w:val="bottom"/>
            <w:hideMark/>
          </w:tcPr>
          <w:p w14:paraId="47ADE178"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Unit</w:t>
            </w:r>
          </w:p>
        </w:tc>
        <w:tc>
          <w:tcPr>
            <w:tcW w:w="931" w:type="dxa"/>
            <w:tcBorders>
              <w:top w:val="nil"/>
              <w:left w:val="nil"/>
              <w:bottom w:val="nil"/>
              <w:right w:val="nil"/>
            </w:tcBorders>
            <w:shd w:val="clear" w:color="auto" w:fill="auto"/>
            <w:noWrap/>
            <w:vAlign w:val="bottom"/>
            <w:hideMark/>
          </w:tcPr>
          <w:p w14:paraId="74AF8F35"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HC</w:t>
            </w:r>
          </w:p>
        </w:tc>
        <w:tc>
          <w:tcPr>
            <w:tcW w:w="1332" w:type="dxa"/>
            <w:tcBorders>
              <w:top w:val="nil"/>
              <w:left w:val="nil"/>
              <w:bottom w:val="nil"/>
              <w:right w:val="nil"/>
            </w:tcBorders>
            <w:shd w:val="clear" w:color="auto" w:fill="auto"/>
            <w:noWrap/>
            <w:vAlign w:val="bottom"/>
            <w:hideMark/>
          </w:tcPr>
          <w:p w14:paraId="0E15E38F"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&gt;50%</w:t>
            </w:r>
          </w:p>
        </w:tc>
        <w:tc>
          <w:tcPr>
            <w:tcW w:w="1300" w:type="dxa"/>
            <w:tcBorders>
              <w:top w:val="nil"/>
              <w:left w:val="nil"/>
              <w:bottom w:val="nil"/>
              <w:right w:val="nil"/>
            </w:tcBorders>
            <w:shd w:val="clear" w:color="auto" w:fill="auto"/>
            <w:noWrap/>
            <w:vAlign w:val="bottom"/>
            <w:hideMark/>
          </w:tcPr>
          <w:p w14:paraId="78C7AFCD"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1FB036EC"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&lt;50%</w:t>
            </w:r>
          </w:p>
        </w:tc>
        <w:tc>
          <w:tcPr>
            <w:tcW w:w="1300" w:type="dxa"/>
            <w:tcBorders>
              <w:top w:val="nil"/>
              <w:left w:val="nil"/>
              <w:bottom w:val="nil"/>
              <w:right w:val="nil"/>
            </w:tcBorders>
            <w:shd w:val="clear" w:color="auto" w:fill="auto"/>
            <w:noWrap/>
            <w:vAlign w:val="bottom"/>
            <w:hideMark/>
          </w:tcPr>
          <w:p w14:paraId="4637C17E"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6406DCBB"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Top 10%</w:t>
            </w:r>
          </w:p>
        </w:tc>
        <w:tc>
          <w:tcPr>
            <w:tcW w:w="1300" w:type="dxa"/>
            <w:tcBorders>
              <w:top w:val="nil"/>
              <w:left w:val="nil"/>
              <w:bottom w:val="nil"/>
              <w:right w:val="nil"/>
            </w:tcBorders>
            <w:shd w:val="clear" w:color="auto" w:fill="auto"/>
            <w:noWrap/>
            <w:vAlign w:val="bottom"/>
            <w:hideMark/>
          </w:tcPr>
          <w:p w14:paraId="764EE997"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P/A</w:t>
            </w:r>
          </w:p>
        </w:tc>
        <w:tc>
          <w:tcPr>
            <w:tcW w:w="1300" w:type="dxa"/>
            <w:tcBorders>
              <w:top w:val="nil"/>
              <w:left w:val="nil"/>
              <w:bottom w:val="nil"/>
              <w:right w:val="nil"/>
            </w:tcBorders>
            <w:shd w:val="clear" w:color="auto" w:fill="auto"/>
            <w:noWrap/>
            <w:vAlign w:val="bottom"/>
            <w:hideMark/>
          </w:tcPr>
          <w:p w14:paraId="4C644921"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w:t>
            </w:r>
          </w:p>
        </w:tc>
        <w:tc>
          <w:tcPr>
            <w:tcW w:w="1300" w:type="dxa"/>
            <w:tcBorders>
              <w:top w:val="nil"/>
              <w:left w:val="nil"/>
              <w:bottom w:val="nil"/>
              <w:right w:val="nil"/>
            </w:tcBorders>
            <w:shd w:val="clear" w:color="auto" w:fill="auto"/>
            <w:noWrap/>
            <w:vAlign w:val="bottom"/>
            <w:hideMark/>
          </w:tcPr>
          <w:p w14:paraId="3E5659D2" w14:textId="77777777" w:rsidR="00AC3513" w:rsidRPr="00A03996" w:rsidRDefault="00AC3513" w:rsidP="00265DE9">
            <w:pPr>
              <w:spacing w:after="0" w:line="240" w:lineRule="auto"/>
              <w:rPr>
                <w:rFonts w:eastAsia="Times New Roman"/>
                <w:color w:val="000000"/>
                <w:sz w:val="24"/>
                <w:szCs w:val="24"/>
                <w:lang w:val="en-GB"/>
              </w:rPr>
            </w:pPr>
            <w:r w:rsidRPr="00A03996">
              <w:rPr>
                <w:rFonts w:eastAsia="Times New Roman"/>
                <w:color w:val="000000"/>
                <w:sz w:val="24"/>
                <w:szCs w:val="24"/>
                <w:lang w:val="en-GB"/>
              </w:rPr>
              <w:t>Total P/A</w:t>
            </w:r>
          </w:p>
        </w:tc>
      </w:tr>
      <w:tr w:rsidR="00AC3513" w:rsidRPr="00A03996" w14:paraId="68E35569" w14:textId="77777777" w:rsidTr="00265DE9">
        <w:trPr>
          <w:trHeight w:val="300"/>
        </w:trPr>
        <w:tc>
          <w:tcPr>
            <w:tcW w:w="1637" w:type="dxa"/>
            <w:tcBorders>
              <w:top w:val="nil"/>
              <w:left w:val="nil"/>
              <w:bottom w:val="nil"/>
              <w:right w:val="nil"/>
            </w:tcBorders>
            <w:shd w:val="clear" w:color="auto" w:fill="auto"/>
            <w:noWrap/>
            <w:vAlign w:val="bottom"/>
            <w:hideMark/>
          </w:tcPr>
          <w:p w14:paraId="24742A3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1.LF</w:t>
            </w:r>
          </w:p>
        </w:tc>
        <w:tc>
          <w:tcPr>
            <w:tcW w:w="931" w:type="dxa"/>
            <w:tcBorders>
              <w:top w:val="nil"/>
              <w:left w:val="nil"/>
              <w:bottom w:val="nil"/>
              <w:right w:val="nil"/>
            </w:tcBorders>
            <w:shd w:val="clear" w:color="auto" w:fill="auto"/>
            <w:noWrap/>
            <w:vAlign w:val="bottom"/>
            <w:hideMark/>
          </w:tcPr>
          <w:p w14:paraId="1784081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16</w:t>
            </w:r>
          </w:p>
        </w:tc>
        <w:tc>
          <w:tcPr>
            <w:tcW w:w="1332" w:type="dxa"/>
            <w:tcBorders>
              <w:top w:val="nil"/>
              <w:left w:val="nil"/>
              <w:bottom w:val="nil"/>
              <w:right w:val="nil"/>
            </w:tcBorders>
            <w:shd w:val="clear" w:color="auto" w:fill="auto"/>
            <w:noWrap/>
            <w:vAlign w:val="bottom"/>
            <w:hideMark/>
          </w:tcPr>
          <w:p w14:paraId="3F368C0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45</w:t>
            </w:r>
          </w:p>
        </w:tc>
        <w:tc>
          <w:tcPr>
            <w:tcW w:w="1300" w:type="dxa"/>
            <w:tcBorders>
              <w:top w:val="nil"/>
              <w:left w:val="nil"/>
              <w:bottom w:val="nil"/>
              <w:right w:val="nil"/>
            </w:tcBorders>
            <w:shd w:val="clear" w:color="auto" w:fill="auto"/>
            <w:noWrap/>
            <w:vAlign w:val="bottom"/>
            <w:hideMark/>
          </w:tcPr>
          <w:p w14:paraId="2AA7D60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2.78</w:t>
            </w:r>
          </w:p>
        </w:tc>
        <w:tc>
          <w:tcPr>
            <w:tcW w:w="1300" w:type="dxa"/>
            <w:tcBorders>
              <w:top w:val="nil"/>
              <w:left w:val="nil"/>
              <w:bottom w:val="nil"/>
              <w:right w:val="nil"/>
            </w:tcBorders>
            <w:shd w:val="clear" w:color="auto" w:fill="auto"/>
            <w:noWrap/>
            <w:vAlign w:val="bottom"/>
            <w:hideMark/>
          </w:tcPr>
          <w:p w14:paraId="03CB3F7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51</w:t>
            </w:r>
          </w:p>
        </w:tc>
        <w:tc>
          <w:tcPr>
            <w:tcW w:w="1300" w:type="dxa"/>
            <w:tcBorders>
              <w:top w:val="nil"/>
              <w:left w:val="nil"/>
              <w:bottom w:val="nil"/>
              <w:right w:val="nil"/>
            </w:tcBorders>
            <w:shd w:val="clear" w:color="auto" w:fill="auto"/>
            <w:noWrap/>
            <w:vAlign w:val="bottom"/>
            <w:hideMark/>
          </w:tcPr>
          <w:p w14:paraId="274F499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3.15</w:t>
            </w:r>
          </w:p>
        </w:tc>
        <w:tc>
          <w:tcPr>
            <w:tcW w:w="1300" w:type="dxa"/>
            <w:tcBorders>
              <w:top w:val="nil"/>
              <w:left w:val="nil"/>
              <w:bottom w:val="nil"/>
              <w:right w:val="nil"/>
            </w:tcBorders>
            <w:shd w:val="clear" w:color="auto" w:fill="auto"/>
            <w:noWrap/>
            <w:vAlign w:val="bottom"/>
            <w:hideMark/>
          </w:tcPr>
          <w:p w14:paraId="27C6317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7965853D"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0.06</w:t>
            </w:r>
          </w:p>
        </w:tc>
        <w:tc>
          <w:tcPr>
            <w:tcW w:w="1300" w:type="dxa"/>
            <w:tcBorders>
              <w:top w:val="nil"/>
              <w:left w:val="nil"/>
              <w:bottom w:val="nil"/>
              <w:right w:val="nil"/>
            </w:tcBorders>
            <w:shd w:val="clear" w:color="auto" w:fill="auto"/>
            <w:noWrap/>
            <w:vAlign w:val="bottom"/>
            <w:hideMark/>
          </w:tcPr>
          <w:p w14:paraId="46B5668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96</w:t>
            </w:r>
          </w:p>
        </w:tc>
        <w:tc>
          <w:tcPr>
            <w:tcW w:w="1300" w:type="dxa"/>
            <w:tcBorders>
              <w:top w:val="nil"/>
              <w:left w:val="nil"/>
              <w:bottom w:val="nil"/>
              <w:right w:val="nil"/>
            </w:tcBorders>
            <w:shd w:val="clear" w:color="auto" w:fill="auto"/>
            <w:noWrap/>
            <w:vAlign w:val="bottom"/>
            <w:hideMark/>
          </w:tcPr>
          <w:p w14:paraId="382B1C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5.94</w:t>
            </w:r>
          </w:p>
        </w:tc>
      </w:tr>
      <w:tr w:rsidR="00AC3513" w:rsidRPr="00A03996" w14:paraId="3F841092" w14:textId="77777777" w:rsidTr="00265DE9">
        <w:trPr>
          <w:trHeight w:val="300"/>
        </w:trPr>
        <w:tc>
          <w:tcPr>
            <w:tcW w:w="1637" w:type="dxa"/>
            <w:tcBorders>
              <w:top w:val="nil"/>
              <w:left w:val="nil"/>
              <w:bottom w:val="nil"/>
              <w:right w:val="nil"/>
            </w:tcBorders>
            <w:shd w:val="clear" w:color="auto" w:fill="auto"/>
            <w:noWrap/>
            <w:vAlign w:val="bottom"/>
            <w:hideMark/>
          </w:tcPr>
          <w:p w14:paraId="7450902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2.LF</w:t>
            </w:r>
          </w:p>
        </w:tc>
        <w:tc>
          <w:tcPr>
            <w:tcW w:w="931" w:type="dxa"/>
            <w:tcBorders>
              <w:top w:val="nil"/>
              <w:left w:val="nil"/>
              <w:bottom w:val="nil"/>
              <w:right w:val="nil"/>
            </w:tcBorders>
            <w:shd w:val="clear" w:color="auto" w:fill="auto"/>
            <w:noWrap/>
            <w:vAlign w:val="bottom"/>
            <w:hideMark/>
          </w:tcPr>
          <w:p w14:paraId="51B747C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8</w:t>
            </w:r>
          </w:p>
        </w:tc>
        <w:tc>
          <w:tcPr>
            <w:tcW w:w="1332" w:type="dxa"/>
            <w:tcBorders>
              <w:top w:val="nil"/>
              <w:left w:val="nil"/>
              <w:bottom w:val="nil"/>
              <w:right w:val="nil"/>
            </w:tcBorders>
            <w:shd w:val="clear" w:color="auto" w:fill="auto"/>
            <w:noWrap/>
            <w:vAlign w:val="bottom"/>
            <w:hideMark/>
          </w:tcPr>
          <w:p w14:paraId="7F4900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00" w:type="dxa"/>
            <w:tcBorders>
              <w:top w:val="nil"/>
              <w:left w:val="nil"/>
              <w:bottom w:val="nil"/>
              <w:right w:val="nil"/>
            </w:tcBorders>
            <w:shd w:val="clear" w:color="auto" w:fill="auto"/>
            <w:noWrap/>
            <w:vAlign w:val="bottom"/>
            <w:hideMark/>
          </w:tcPr>
          <w:p w14:paraId="2E977265"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030C565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w:t>
            </w:r>
          </w:p>
        </w:tc>
        <w:tc>
          <w:tcPr>
            <w:tcW w:w="1300" w:type="dxa"/>
            <w:tcBorders>
              <w:top w:val="nil"/>
              <w:left w:val="nil"/>
              <w:bottom w:val="nil"/>
              <w:right w:val="nil"/>
            </w:tcBorders>
            <w:shd w:val="clear" w:color="auto" w:fill="auto"/>
            <w:noWrap/>
            <w:vAlign w:val="bottom"/>
            <w:hideMark/>
          </w:tcPr>
          <w:p w14:paraId="0B595D04"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E521D4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2F39E774"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B71206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9</w:t>
            </w:r>
          </w:p>
        </w:tc>
        <w:tc>
          <w:tcPr>
            <w:tcW w:w="1300" w:type="dxa"/>
            <w:tcBorders>
              <w:top w:val="nil"/>
              <w:left w:val="nil"/>
              <w:bottom w:val="nil"/>
              <w:right w:val="nil"/>
            </w:tcBorders>
            <w:shd w:val="clear" w:color="auto" w:fill="auto"/>
            <w:noWrap/>
            <w:vAlign w:val="bottom"/>
            <w:hideMark/>
          </w:tcPr>
          <w:p w14:paraId="1DF4483D" w14:textId="77777777" w:rsidR="00AC3513" w:rsidRPr="00A03996" w:rsidRDefault="00AC3513" w:rsidP="00265DE9">
            <w:pPr>
              <w:spacing w:after="0" w:line="240" w:lineRule="auto"/>
              <w:jc w:val="center"/>
              <w:rPr>
                <w:rFonts w:eastAsia="Times New Roman"/>
                <w:color w:val="000000"/>
                <w:sz w:val="24"/>
                <w:szCs w:val="24"/>
                <w:lang w:val="en-GB"/>
              </w:rPr>
            </w:pPr>
          </w:p>
        </w:tc>
      </w:tr>
      <w:tr w:rsidR="00AC3513" w:rsidRPr="00A03996" w14:paraId="2E5EBF69" w14:textId="77777777" w:rsidTr="00265DE9">
        <w:trPr>
          <w:trHeight w:val="300"/>
        </w:trPr>
        <w:tc>
          <w:tcPr>
            <w:tcW w:w="1637" w:type="dxa"/>
            <w:tcBorders>
              <w:top w:val="nil"/>
              <w:left w:val="nil"/>
              <w:bottom w:val="nil"/>
              <w:right w:val="nil"/>
            </w:tcBorders>
            <w:shd w:val="clear" w:color="auto" w:fill="auto"/>
            <w:noWrap/>
            <w:vAlign w:val="bottom"/>
            <w:hideMark/>
          </w:tcPr>
          <w:p w14:paraId="487C84A9"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3.LF</w:t>
            </w:r>
          </w:p>
        </w:tc>
        <w:tc>
          <w:tcPr>
            <w:tcW w:w="931" w:type="dxa"/>
            <w:tcBorders>
              <w:top w:val="nil"/>
              <w:left w:val="nil"/>
              <w:bottom w:val="nil"/>
              <w:right w:val="nil"/>
            </w:tcBorders>
            <w:shd w:val="clear" w:color="auto" w:fill="auto"/>
            <w:noWrap/>
            <w:vAlign w:val="bottom"/>
            <w:hideMark/>
          </w:tcPr>
          <w:p w14:paraId="6BFA162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32" w:type="dxa"/>
            <w:tcBorders>
              <w:top w:val="nil"/>
              <w:left w:val="nil"/>
              <w:bottom w:val="nil"/>
              <w:right w:val="nil"/>
            </w:tcBorders>
            <w:shd w:val="clear" w:color="auto" w:fill="auto"/>
            <w:noWrap/>
            <w:vAlign w:val="bottom"/>
            <w:hideMark/>
          </w:tcPr>
          <w:p w14:paraId="74305F9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w:t>
            </w:r>
          </w:p>
        </w:tc>
        <w:tc>
          <w:tcPr>
            <w:tcW w:w="1300" w:type="dxa"/>
            <w:tcBorders>
              <w:top w:val="nil"/>
              <w:left w:val="nil"/>
              <w:bottom w:val="nil"/>
              <w:right w:val="nil"/>
            </w:tcBorders>
            <w:shd w:val="clear" w:color="auto" w:fill="auto"/>
            <w:noWrap/>
            <w:vAlign w:val="bottom"/>
            <w:hideMark/>
          </w:tcPr>
          <w:p w14:paraId="7ED0B950"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2862239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w:t>
            </w:r>
          </w:p>
        </w:tc>
        <w:tc>
          <w:tcPr>
            <w:tcW w:w="1300" w:type="dxa"/>
            <w:tcBorders>
              <w:top w:val="nil"/>
              <w:left w:val="nil"/>
              <w:bottom w:val="nil"/>
              <w:right w:val="nil"/>
            </w:tcBorders>
            <w:shd w:val="clear" w:color="auto" w:fill="auto"/>
            <w:noWrap/>
            <w:vAlign w:val="bottom"/>
            <w:hideMark/>
          </w:tcPr>
          <w:p w14:paraId="57FBC5CC"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70E0059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w:t>
            </w:r>
          </w:p>
        </w:tc>
        <w:tc>
          <w:tcPr>
            <w:tcW w:w="1300" w:type="dxa"/>
            <w:tcBorders>
              <w:top w:val="nil"/>
              <w:left w:val="nil"/>
              <w:bottom w:val="nil"/>
              <w:right w:val="nil"/>
            </w:tcBorders>
            <w:shd w:val="clear" w:color="auto" w:fill="auto"/>
            <w:noWrap/>
            <w:vAlign w:val="bottom"/>
            <w:hideMark/>
          </w:tcPr>
          <w:p w14:paraId="5D425913" w14:textId="77777777" w:rsidR="00AC3513" w:rsidRPr="00A03996" w:rsidRDefault="00AC3513" w:rsidP="00265DE9">
            <w:pPr>
              <w:spacing w:after="0" w:line="240" w:lineRule="auto"/>
              <w:jc w:val="center"/>
              <w:rPr>
                <w:rFonts w:eastAsia="Times New Roman"/>
                <w:color w:val="000000"/>
                <w:sz w:val="24"/>
                <w:szCs w:val="24"/>
                <w:lang w:val="en-GB"/>
              </w:rPr>
            </w:pPr>
          </w:p>
        </w:tc>
        <w:tc>
          <w:tcPr>
            <w:tcW w:w="1300" w:type="dxa"/>
            <w:tcBorders>
              <w:top w:val="nil"/>
              <w:left w:val="nil"/>
              <w:bottom w:val="nil"/>
              <w:right w:val="nil"/>
            </w:tcBorders>
            <w:shd w:val="clear" w:color="auto" w:fill="auto"/>
            <w:noWrap/>
            <w:vAlign w:val="bottom"/>
            <w:hideMark/>
          </w:tcPr>
          <w:p w14:paraId="5560202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w:t>
            </w:r>
          </w:p>
        </w:tc>
        <w:tc>
          <w:tcPr>
            <w:tcW w:w="1300" w:type="dxa"/>
            <w:tcBorders>
              <w:top w:val="nil"/>
              <w:left w:val="nil"/>
              <w:bottom w:val="nil"/>
              <w:right w:val="nil"/>
            </w:tcBorders>
            <w:shd w:val="clear" w:color="auto" w:fill="auto"/>
            <w:noWrap/>
            <w:vAlign w:val="bottom"/>
            <w:hideMark/>
          </w:tcPr>
          <w:p w14:paraId="63BEEB88" w14:textId="77777777" w:rsidR="00AC3513" w:rsidRPr="00A03996" w:rsidRDefault="00AC3513" w:rsidP="00265DE9">
            <w:pPr>
              <w:spacing w:after="0" w:line="240" w:lineRule="auto"/>
              <w:jc w:val="center"/>
              <w:rPr>
                <w:rFonts w:eastAsia="Times New Roman"/>
                <w:color w:val="000000"/>
                <w:sz w:val="24"/>
                <w:szCs w:val="24"/>
                <w:lang w:val="en-GB"/>
              </w:rPr>
            </w:pPr>
          </w:p>
        </w:tc>
      </w:tr>
      <w:tr w:rsidR="00AC3513" w:rsidRPr="00A03996" w14:paraId="0453D2B7" w14:textId="77777777" w:rsidTr="00265DE9">
        <w:trPr>
          <w:trHeight w:val="300"/>
        </w:trPr>
        <w:tc>
          <w:tcPr>
            <w:tcW w:w="1637" w:type="dxa"/>
            <w:tcBorders>
              <w:top w:val="nil"/>
              <w:left w:val="nil"/>
              <w:bottom w:val="nil"/>
              <w:right w:val="nil"/>
            </w:tcBorders>
            <w:shd w:val="clear" w:color="auto" w:fill="auto"/>
            <w:noWrap/>
            <w:vAlign w:val="bottom"/>
            <w:hideMark/>
          </w:tcPr>
          <w:p w14:paraId="03E1F46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FaF HK</w:t>
            </w:r>
          </w:p>
        </w:tc>
        <w:tc>
          <w:tcPr>
            <w:tcW w:w="931" w:type="dxa"/>
            <w:tcBorders>
              <w:top w:val="nil"/>
              <w:left w:val="nil"/>
              <w:bottom w:val="nil"/>
              <w:right w:val="nil"/>
            </w:tcBorders>
            <w:shd w:val="clear" w:color="auto" w:fill="auto"/>
            <w:noWrap/>
            <w:vAlign w:val="bottom"/>
            <w:hideMark/>
          </w:tcPr>
          <w:p w14:paraId="0E6A551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158</w:t>
            </w:r>
          </w:p>
        </w:tc>
        <w:tc>
          <w:tcPr>
            <w:tcW w:w="1332" w:type="dxa"/>
            <w:tcBorders>
              <w:top w:val="nil"/>
              <w:left w:val="nil"/>
              <w:bottom w:val="nil"/>
              <w:right w:val="nil"/>
            </w:tcBorders>
            <w:shd w:val="clear" w:color="auto" w:fill="auto"/>
            <w:noWrap/>
            <w:vAlign w:val="bottom"/>
            <w:hideMark/>
          </w:tcPr>
          <w:p w14:paraId="204FDB6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195</w:t>
            </w:r>
          </w:p>
        </w:tc>
        <w:tc>
          <w:tcPr>
            <w:tcW w:w="1300" w:type="dxa"/>
            <w:tcBorders>
              <w:top w:val="nil"/>
              <w:left w:val="nil"/>
              <w:bottom w:val="nil"/>
              <w:right w:val="nil"/>
            </w:tcBorders>
            <w:shd w:val="clear" w:color="auto" w:fill="auto"/>
            <w:noWrap/>
            <w:vAlign w:val="bottom"/>
            <w:hideMark/>
          </w:tcPr>
          <w:p w14:paraId="32A0DC2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1.23</w:t>
            </w:r>
          </w:p>
        </w:tc>
        <w:tc>
          <w:tcPr>
            <w:tcW w:w="1300" w:type="dxa"/>
            <w:tcBorders>
              <w:top w:val="nil"/>
              <w:left w:val="nil"/>
              <w:bottom w:val="nil"/>
              <w:right w:val="nil"/>
            </w:tcBorders>
            <w:shd w:val="clear" w:color="auto" w:fill="auto"/>
            <w:noWrap/>
            <w:vAlign w:val="bottom"/>
            <w:hideMark/>
          </w:tcPr>
          <w:p w14:paraId="602AA6E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188</w:t>
            </w:r>
          </w:p>
        </w:tc>
        <w:tc>
          <w:tcPr>
            <w:tcW w:w="1300" w:type="dxa"/>
            <w:tcBorders>
              <w:top w:val="nil"/>
              <w:left w:val="nil"/>
              <w:bottom w:val="nil"/>
              <w:right w:val="nil"/>
            </w:tcBorders>
            <w:shd w:val="clear" w:color="auto" w:fill="auto"/>
            <w:noWrap/>
            <w:vAlign w:val="bottom"/>
            <w:hideMark/>
          </w:tcPr>
          <w:p w14:paraId="5F52950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1.19</w:t>
            </w:r>
          </w:p>
        </w:tc>
        <w:tc>
          <w:tcPr>
            <w:tcW w:w="1300" w:type="dxa"/>
            <w:tcBorders>
              <w:top w:val="nil"/>
              <w:left w:val="nil"/>
              <w:bottom w:val="nil"/>
              <w:right w:val="nil"/>
            </w:tcBorders>
            <w:shd w:val="clear" w:color="auto" w:fill="auto"/>
            <w:noWrap/>
            <w:vAlign w:val="bottom"/>
            <w:hideMark/>
          </w:tcPr>
          <w:p w14:paraId="7E2B4F6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12</w:t>
            </w:r>
          </w:p>
        </w:tc>
        <w:tc>
          <w:tcPr>
            <w:tcW w:w="1300" w:type="dxa"/>
            <w:tcBorders>
              <w:top w:val="nil"/>
              <w:left w:val="nil"/>
              <w:bottom w:val="nil"/>
              <w:right w:val="nil"/>
            </w:tcBorders>
            <w:shd w:val="clear" w:color="auto" w:fill="auto"/>
            <w:noWrap/>
            <w:vAlign w:val="bottom"/>
            <w:hideMark/>
          </w:tcPr>
          <w:p w14:paraId="5E9329C4"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0.08</w:t>
            </w:r>
          </w:p>
        </w:tc>
        <w:tc>
          <w:tcPr>
            <w:tcW w:w="1300" w:type="dxa"/>
            <w:tcBorders>
              <w:top w:val="nil"/>
              <w:left w:val="nil"/>
              <w:bottom w:val="nil"/>
              <w:right w:val="nil"/>
            </w:tcBorders>
            <w:shd w:val="clear" w:color="auto" w:fill="auto"/>
            <w:noWrap/>
            <w:vAlign w:val="bottom"/>
            <w:hideMark/>
          </w:tcPr>
          <w:p w14:paraId="4EB6395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383</w:t>
            </w:r>
          </w:p>
        </w:tc>
        <w:tc>
          <w:tcPr>
            <w:tcW w:w="1300" w:type="dxa"/>
            <w:tcBorders>
              <w:top w:val="nil"/>
              <w:left w:val="nil"/>
              <w:bottom w:val="nil"/>
              <w:right w:val="nil"/>
            </w:tcBorders>
            <w:shd w:val="clear" w:color="auto" w:fill="auto"/>
            <w:noWrap/>
            <w:vAlign w:val="bottom"/>
            <w:hideMark/>
          </w:tcPr>
          <w:p w14:paraId="3FC1AE98"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2.42</w:t>
            </w:r>
          </w:p>
        </w:tc>
      </w:tr>
      <w:tr w:rsidR="00AC3513" w:rsidRPr="00A03996" w14:paraId="492D68BE" w14:textId="77777777" w:rsidTr="00265DE9">
        <w:trPr>
          <w:trHeight w:val="300"/>
        </w:trPr>
        <w:tc>
          <w:tcPr>
            <w:tcW w:w="1637" w:type="dxa"/>
            <w:tcBorders>
              <w:top w:val="nil"/>
              <w:left w:val="nil"/>
              <w:bottom w:val="nil"/>
              <w:right w:val="nil"/>
            </w:tcBorders>
            <w:shd w:val="clear" w:color="auto" w:fill="auto"/>
            <w:noWrap/>
            <w:vAlign w:val="bottom"/>
            <w:hideMark/>
          </w:tcPr>
          <w:p w14:paraId="1EC773A0"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LFHK</w:t>
            </w:r>
          </w:p>
        </w:tc>
        <w:tc>
          <w:tcPr>
            <w:tcW w:w="931" w:type="dxa"/>
            <w:tcBorders>
              <w:top w:val="nil"/>
              <w:left w:val="nil"/>
              <w:bottom w:val="nil"/>
              <w:right w:val="nil"/>
            </w:tcBorders>
            <w:shd w:val="clear" w:color="auto" w:fill="auto"/>
            <w:noWrap/>
            <w:vAlign w:val="bottom"/>
            <w:hideMark/>
          </w:tcPr>
          <w:p w14:paraId="64AB7CF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15</w:t>
            </w:r>
          </w:p>
        </w:tc>
        <w:tc>
          <w:tcPr>
            <w:tcW w:w="1332" w:type="dxa"/>
            <w:tcBorders>
              <w:top w:val="nil"/>
              <w:left w:val="nil"/>
              <w:bottom w:val="nil"/>
              <w:right w:val="nil"/>
            </w:tcBorders>
            <w:shd w:val="clear" w:color="auto" w:fill="auto"/>
            <w:noWrap/>
            <w:vAlign w:val="bottom"/>
            <w:hideMark/>
          </w:tcPr>
          <w:p w14:paraId="21E6FB2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37</w:t>
            </w:r>
          </w:p>
        </w:tc>
        <w:tc>
          <w:tcPr>
            <w:tcW w:w="1300" w:type="dxa"/>
            <w:tcBorders>
              <w:top w:val="nil"/>
              <w:left w:val="nil"/>
              <w:bottom w:val="nil"/>
              <w:right w:val="nil"/>
            </w:tcBorders>
            <w:shd w:val="clear" w:color="auto" w:fill="auto"/>
            <w:noWrap/>
            <w:vAlign w:val="bottom"/>
            <w:hideMark/>
          </w:tcPr>
          <w:p w14:paraId="353D1F8B"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2.47</w:t>
            </w:r>
          </w:p>
        </w:tc>
        <w:tc>
          <w:tcPr>
            <w:tcW w:w="1300" w:type="dxa"/>
            <w:tcBorders>
              <w:top w:val="nil"/>
              <w:left w:val="nil"/>
              <w:bottom w:val="nil"/>
              <w:right w:val="nil"/>
            </w:tcBorders>
            <w:shd w:val="clear" w:color="auto" w:fill="auto"/>
            <w:noWrap/>
            <w:vAlign w:val="bottom"/>
            <w:hideMark/>
          </w:tcPr>
          <w:p w14:paraId="04EFE95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29</w:t>
            </w:r>
          </w:p>
        </w:tc>
        <w:tc>
          <w:tcPr>
            <w:tcW w:w="1300" w:type="dxa"/>
            <w:tcBorders>
              <w:top w:val="nil"/>
              <w:left w:val="nil"/>
              <w:bottom w:val="nil"/>
              <w:right w:val="nil"/>
            </w:tcBorders>
            <w:shd w:val="clear" w:color="auto" w:fill="auto"/>
            <w:noWrap/>
            <w:vAlign w:val="bottom"/>
            <w:hideMark/>
          </w:tcPr>
          <w:p w14:paraId="02D6AFC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1.93</w:t>
            </w:r>
          </w:p>
        </w:tc>
        <w:tc>
          <w:tcPr>
            <w:tcW w:w="1300" w:type="dxa"/>
            <w:tcBorders>
              <w:top w:val="nil"/>
              <w:left w:val="nil"/>
              <w:bottom w:val="nil"/>
              <w:right w:val="nil"/>
            </w:tcBorders>
            <w:shd w:val="clear" w:color="auto" w:fill="auto"/>
            <w:noWrap/>
            <w:vAlign w:val="bottom"/>
            <w:hideMark/>
          </w:tcPr>
          <w:p w14:paraId="0121451A"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74649C95"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0.07</w:t>
            </w:r>
          </w:p>
        </w:tc>
        <w:tc>
          <w:tcPr>
            <w:tcW w:w="1300" w:type="dxa"/>
            <w:tcBorders>
              <w:top w:val="nil"/>
              <w:left w:val="nil"/>
              <w:bottom w:val="nil"/>
              <w:right w:val="nil"/>
            </w:tcBorders>
            <w:shd w:val="clear" w:color="auto" w:fill="auto"/>
            <w:noWrap/>
            <w:vAlign w:val="bottom"/>
            <w:hideMark/>
          </w:tcPr>
          <w:p w14:paraId="52D8026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66</w:t>
            </w:r>
          </w:p>
        </w:tc>
        <w:tc>
          <w:tcPr>
            <w:tcW w:w="1300" w:type="dxa"/>
            <w:tcBorders>
              <w:top w:val="nil"/>
              <w:left w:val="nil"/>
              <w:bottom w:val="nil"/>
              <w:right w:val="nil"/>
            </w:tcBorders>
            <w:shd w:val="clear" w:color="auto" w:fill="auto"/>
            <w:noWrap/>
            <w:vAlign w:val="bottom"/>
            <w:hideMark/>
          </w:tcPr>
          <w:p w14:paraId="43E1D17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4.40</w:t>
            </w:r>
          </w:p>
        </w:tc>
      </w:tr>
      <w:tr w:rsidR="00AC3513" w:rsidRPr="00A03996" w14:paraId="411F7BB8" w14:textId="77777777" w:rsidTr="00265DE9">
        <w:trPr>
          <w:trHeight w:val="300"/>
        </w:trPr>
        <w:tc>
          <w:tcPr>
            <w:tcW w:w="1637" w:type="dxa"/>
            <w:tcBorders>
              <w:top w:val="nil"/>
              <w:left w:val="nil"/>
              <w:bottom w:val="nil"/>
              <w:right w:val="nil"/>
            </w:tcBorders>
            <w:shd w:val="clear" w:color="auto" w:fill="auto"/>
            <w:noWrap/>
            <w:vAlign w:val="bottom"/>
            <w:hideMark/>
          </w:tcPr>
          <w:p w14:paraId="6E1828CC"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LFPl</w:t>
            </w:r>
          </w:p>
        </w:tc>
        <w:tc>
          <w:tcPr>
            <w:tcW w:w="931" w:type="dxa"/>
            <w:tcBorders>
              <w:top w:val="nil"/>
              <w:left w:val="nil"/>
              <w:bottom w:val="nil"/>
              <w:right w:val="nil"/>
            </w:tcBorders>
            <w:shd w:val="clear" w:color="auto" w:fill="auto"/>
            <w:noWrap/>
            <w:vAlign w:val="bottom"/>
            <w:hideMark/>
          </w:tcPr>
          <w:p w14:paraId="2FE209E7"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w:t>
            </w:r>
          </w:p>
        </w:tc>
        <w:tc>
          <w:tcPr>
            <w:tcW w:w="1332" w:type="dxa"/>
            <w:tcBorders>
              <w:top w:val="nil"/>
              <w:left w:val="nil"/>
              <w:bottom w:val="nil"/>
              <w:right w:val="nil"/>
            </w:tcBorders>
            <w:shd w:val="clear" w:color="auto" w:fill="auto"/>
            <w:noWrap/>
            <w:vAlign w:val="bottom"/>
            <w:hideMark/>
          </w:tcPr>
          <w:p w14:paraId="0DA2BD0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4</w:t>
            </w:r>
          </w:p>
        </w:tc>
        <w:tc>
          <w:tcPr>
            <w:tcW w:w="1300" w:type="dxa"/>
            <w:tcBorders>
              <w:top w:val="nil"/>
              <w:left w:val="nil"/>
              <w:bottom w:val="nil"/>
              <w:right w:val="nil"/>
            </w:tcBorders>
            <w:shd w:val="clear" w:color="auto" w:fill="auto"/>
            <w:noWrap/>
            <w:vAlign w:val="bottom"/>
            <w:hideMark/>
          </w:tcPr>
          <w:p w14:paraId="373BAFA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0.36</w:t>
            </w:r>
          </w:p>
        </w:tc>
        <w:tc>
          <w:tcPr>
            <w:tcW w:w="1300" w:type="dxa"/>
            <w:tcBorders>
              <w:top w:val="nil"/>
              <w:left w:val="nil"/>
              <w:bottom w:val="nil"/>
              <w:right w:val="nil"/>
            </w:tcBorders>
            <w:shd w:val="clear" w:color="auto" w:fill="auto"/>
            <w:noWrap/>
            <w:vAlign w:val="bottom"/>
            <w:hideMark/>
          </w:tcPr>
          <w:p w14:paraId="07CDA2C3"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11</w:t>
            </w:r>
          </w:p>
        </w:tc>
        <w:tc>
          <w:tcPr>
            <w:tcW w:w="1300" w:type="dxa"/>
            <w:tcBorders>
              <w:top w:val="nil"/>
              <w:left w:val="nil"/>
              <w:bottom w:val="nil"/>
              <w:right w:val="nil"/>
            </w:tcBorders>
            <w:shd w:val="clear" w:color="auto" w:fill="auto"/>
            <w:noWrap/>
            <w:vAlign w:val="bottom"/>
            <w:hideMark/>
          </w:tcPr>
          <w:p w14:paraId="76E9BC32"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1.00</w:t>
            </w:r>
          </w:p>
        </w:tc>
        <w:tc>
          <w:tcPr>
            <w:tcW w:w="1300" w:type="dxa"/>
            <w:tcBorders>
              <w:top w:val="nil"/>
              <w:left w:val="nil"/>
              <w:bottom w:val="nil"/>
              <w:right w:val="nil"/>
            </w:tcBorders>
            <w:shd w:val="clear" w:color="auto" w:fill="auto"/>
            <w:noWrap/>
            <w:vAlign w:val="bottom"/>
            <w:hideMark/>
          </w:tcPr>
          <w:p w14:paraId="7FE5D48E"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w:t>
            </w:r>
          </w:p>
        </w:tc>
        <w:tc>
          <w:tcPr>
            <w:tcW w:w="1300" w:type="dxa"/>
            <w:tcBorders>
              <w:top w:val="nil"/>
              <w:left w:val="nil"/>
              <w:bottom w:val="nil"/>
              <w:right w:val="nil"/>
            </w:tcBorders>
            <w:shd w:val="clear" w:color="auto" w:fill="auto"/>
            <w:noWrap/>
            <w:vAlign w:val="bottom"/>
            <w:hideMark/>
          </w:tcPr>
          <w:p w14:paraId="2F18384F"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0.09</w:t>
            </w:r>
          </w:p>
        </w:tc>
        <w:tc>
          <w:tcPr>
            <w:tcW w:w="1300" w:type="dxa"/>
            <w:tcBorders>
              <w:top w:val="nil"/>
              <w:left w:val="nil"/>
              <w:bottom w:val="nil"/>
              <w:right w:val="nil"/>
            </w:tcBorders>
            <w:shd w:val="clear" w:color="auto" w:fill="auto"/>
            <w:noWrap/>
            <w:vAlign w:val="bottom"/>
            <w:hideMark/>
          </w:tcPr>
          <w:p w14:paraId="4F34F7C1"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15</w:t>
            </w:r>
          </w:p>
        </w:tc>
        <w:tc>
          <w:tcPr>
            <w:tcW w:w="1300" w:type="dxa"/>
            <w:tcBorders>
              <w:top w:val="nil"/>
              <w:left w:val="nil"/>
              <w:bottom w:val="nil"/>
              <w:right w:val="nil"/>
            </w:tcBorders>
            <w:shd w:val="clear" w:color="auto" w:fill="auto"/>
            <w:noWrap/>
            <w:vAlign w:val="bottom"/>
            <w:hideMark/>
          </w:tcPr>
          <w:p w14:paraId="3E1184C6" w14:textId="77777777" w:rsidR="00AC3513" w:rsidRPr="00A03996" w:rsidRDefault="00AC3513" w:rsidP="00265DE9">
            <w:pPr>
              <w:spacing w:after="0" w:line="240" w:lineRule="auto"/>
              <w:jc w:val="center"/>
              <w:rPr>
                <w:rFonts w:eastAsia="Times New Roman"/>
                <w:color w:val="000000"/>
                <w:sz w:val="24"/>
                <w:szCs w:val="24"/>
                <w:lang w:val="en-GB"/>
              </w:rPr>
            </w:pPr>
            <w:r w:rsidRPr="00A03996">
              <w:rPr>
                <w:rFonts w:eastAsia="Times New Roman"/>
                <w:color w:val="000000"/>
                <w:sz w:val="24"/>
                <w:szCs w:val="24"/>
                <w:lang w:val="en-GB"/>
              </w:rPr>
              <w:t>1.36</w:t>
            </w:r>
          </w:p>
        </w:tc>
      </w:tr>
    </w:tbl>
    <w:p w14:paraId="6FDA08E0" w14:textId="77777777" w:rsidR="00AC3513" w:rsidRDefault="00AC3513" w:rsidP="00AC3513">
      <w:pPr>
        <w:pStyle w:val="Odstavecseseznamem"/>
        <w:spacing w:after="0" w:line="360" w:lineRule="auto"/>
        <w:ind w:left="360" w:right="93"/>
        <w:jc w:val="both"/>
        <w:rPr>
          <w:rFonts w:ascii="Times New Roman" w:hAnsi="Times New Roman"/>
          <w:b/>
          <w:bCs/>
          <w:color w:val="FF0000"/>
          <w:sz w:val="24"/>
          <w:szCs w:val="24"/>
          <w:lang w:val="en-GB"/>
        </w:rPr>
      </w:pPr>
    </w:p>
    <w:p w14:paraId="1A935AB6" w14:textId="77777777" w:rsidR="00AC3513" w:rsidRPr="00EF4144" w:rsidRDefault="00AC3513" w:rsidP="00AC3513">
      <w:pPr>
        <w:pStyle w:val="Odstavecseseznamem"/>
        <w:spacing w:after="0" w:line="360" w:lineRule="auto"/>
        <w:ind w:left="360" w:right="93"/>
        <w:jc w:val="both"/>
        <w:rPr>
          <w:rFonts w:ascii="Times New Roman" w:hAnsi="Times New Roman"/>
          <w:b/>
          <w:bCs/>
          <w:color w:val="FF0000"/>
          <w:sz w:val="24"/>
          <w:szCs w:val="24"/>
          <w:lang w:val="en-GB"/>
        </w:rPr>
      </w:pPr>
      <w:r w:rsidRPr="00E31BF7">
        <w:rPr>
          <w:rFonts w:ascii="Helvetica" w:hAnsi="Helvetica" w:cs="Helvetica"/>
          <w:noProof/>
          <w:sz w:val="32"/>
          <w:szCs w:val="32"/>
          <w:lang w:eastAsia="cs-CZ"/>
        </w:rPr>
        <w:lastRenderedPageBreak/>
        <w:drawing>
          <wp:inline distT="0" distB="0" distL="0" distR="0" wp14:anchorId="56794681" wp14:editId="0592B85B">
            <wp:extent cx="6400800" cy="4114800"/>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114800"/>
                    </a:xfrm>
                    <a:prstGeom prst="rect">
                      <a:avLst/>
                    </a:prstGeom>
                    <a:noFill/>
                    <a:ln>
                      <a:noFill/>
                    </a:ln>
                  </pic:spPr>
                </pic:pic>
              </a:graphicData>
            </a:graphic>
          </wp:inline>
        </w:drawing>
      </w:r>
    </w:p>
    <w:p w14:paraId="220BA9CC" w14:textId="77777777" w:rsidR="00AC3513" w:rsidRPr="00AC72BF" w:rsidRDefault="00AC3513" w:rsidP="00AC3513">
      <w:pPr>
        <w:spacing w:after="0" w:line="360" w:lineRule="auto"/>
        <w:ind w:left="1080" w:hanging="1080"/>
        <w:jc w:val="both"/>
        <w:rPr>
          <w:rFonts w:ascii="Times New Roman" w:hAnsi="Times New Roman"/>
          <w:b/>
          <w:bCs/>
          <w:sz w:val="24"/>
          <w:szCs w:val="24"/>
          <w:lang w:val="en-GB"/>
        </w:rPr>
      </w:pPr>
    </w:p>
    <w:p w14:paraId="347DBAFF" w14:textId="7224FC55" w:rsidR="00AC3513" w:rsidRDefault="00AC3513" w:rsidP="00AC3513">
      <w:pPr>
        <w:spacing w:after="0" w:line="360" w:lineRule="auto"/>
        <w:jc w:val="both"/>
        <w:rPr>
          <w:rFonts w:ascii="Times New Roman" w:hAnsi="Times New Roman"/>
          <w:bCs/>
          <w:sz w:val="24"/>
          <w:szCs w:val="24"/>
          <w:lang w:val="en-GB"/>
        </w:rPr>
      </w:pPr>
    </w:p>
    <w:p w14:paraId="0FF13381" w14:textId="7351E70A" w:rsidR="00726560" w:rsidRDefault="00726560" w:rsidP="00AC3513">
      <w:pPr>
        <w:spacing w:after="0" w:line="360" w:lineRule="auto"/>
        <w:jc w:val="both"/>
        <w:rPr>
          <w:rFonts w:ascii="Times New Roman" w:hAnsi="Times New Roman"/>
          <w:bCs/>
          <w:sz w:val="24"/>
          <w:szCs w:val="24"/>
          <w:lang w:val="en-GB"/>
        </w:rPr>
      </w:pPr>
    </w:p>
    <w:p w14:paraId="28196BF6" w14:textId="28CC184D" w:rsidR="00726560" w:rsidRDefault="00726560" w:rsidP="00AC3513">
      <w:pPr>
        <w:spacing w:after="0" w:line="360" w:lineRule="auto"/>
        <w:jc w:val="both"/>
        <w:rPr>
          <w:rFonts w:ascii="Times New Roman" w:hAnsi="Times New Roman"/>
          <w:bCs/>
          <w:sz w:val="24"/>
          <w:szCs w:val="24"/>
          <w:lang w:val="en-GB"/>
        </w:rPr>
      </w:pPr>
    </w:p>
    <w:p w14:paraId="38CD0A47" w14:textId="77777777" w:rsidR="00726560" w:rsidRDefault="00726560" w:rsidP="00AC3513">
      <w:pPr>
        <w:spacing w:after="0" w:line="360" w:lineRule="auto"/>
        <w:jc w:val="both"/>
        <w:rPr>
          <w:rFonts w:ascii="Times New Roman" w:hAnsi="Times New Roman"/>
          <w:bCs/>
          <w:sz w:val="24"/>
          <w:szCs w:val="24"/>
          <w:lang w:val="en-GB"/>
        </w:rPr>
      </w:pPr>
    </w:p>
    <w:p w14:paraId="0378E805" w14:textId="77777777" w:rsidR="00447D4E" w:rsidRDefault="00447D4E" w:rsidP="00447D4E">
      <w:pPr>
        <w:spacing w:after="0" w:line="360" w:lineRule="auto"/>
        <w:jc w:val="both"/>
        <w:rPr>
          <w:rFonts w:ascii="Times New Roman" w:hAnsi="Times New Roman"/>
          <w:bCs/>
          <w:sz w:val="24"/>
          <w:szCs w:val="24"/>
          <w:lang w:val="en-GB"/>
        </w:rPr>
      </w:pPr>
    </w:p>
    <w:p w14:paraId="6826B980" w14:textId="77777777" w:rsidR="008E3C21" w:rsidRPr="002D5FC7" w:rsidRDefault="008E3C21" w:rsidP="008E3C21">
      <w:pPr>
        <w:spacing w:after="0" w:line="360" w:lineRule="auto"/>
        <w:jc w:val="both"/>
        <w:rPr>
          <w:rFonts w:ascii="Times New Roman" w:hAnsi="Times New Roman"/>
          <w:b/>
          <w:bCs/>
          <w:sz w:val="32"/>
          <w:szCs w:val="32"/>
        </w:rPr>
      </w:pPr>
      <w:r w:rsidRPr="002D5FC7">
        <w:rPr>
          <w:rFonts w:ascii="Times New Roman" w:hAnsi="Times New Roman"/>
          <w:b/>
          <w:bCs/>
          <w:sz w:val="32"/>
          <w:szCs w:val="32"/>
        </w:rPr>
        <w:lastRenderedPageBreak/>
        <w:t>E. International collaboration and visibility</w:t>
      </w:r>
    </w:p>
    <w:p w14:paraId="30A75132" w14:textId="77777777" w:rsidR="008E3C21" w:rsidRPr="006A364F" w:rsidRDefault="008E3C21" w:rsidP="008E3C21">
      <w:pPr>
        <w:spacing w:after="0" w:line="360" w:lineRule="auto"/>
        <w:jc w:val="both"/>
        <w:rPr>
          <w:rFonts w:ascii="Times New Roman" w:hAnsi="Times New Roman"/>
          <w:b/>
          <w:bCs/>
          <w:sz w:val="24"/>
          <w:szCs w:val="24"/>
        </w:rPr>
      </w:pPr>
    </w:p>
    <w:p w14:paraId="1DE2C202" w14:textId="77777777" w:rsidR="008E3C21" w:rsidRPr="00EC6525" w:rsidRDefault="008E3C21" w:rsidP="008E3C21">
      <w:pPr>
        <w:spacing w:after="0" w:line="360" w:lineRule="auto"/>
        <w:jc w:val="both"/>
        <w:rPr>
          <w:rFonts w:ascii="Times New Roman" w:hAnsi="Times New Roman"/>
          <w:bCs/>
          <w:sz w:val="24"/>
          <w:szCs w:val="24"/>
        </w:rPr>
      </w:pPr>
      <w:r>
        <w:rPr>
          <w:rFonts w:ascii="Times New Roman" w:hAnsi="Times New Roman"/>
          <w:bCs/>
          <w:sz w:val="24"/>
          <w:szCs w:val="24"/>
        </w:rPr>
        <w:t>The medical faculties in their self-assessment reports presented</w:t>
      </w:r>
      <w:r w:rsidRPr="00EC6525">
        <w:rPr>
          <w:rFonts w:ascii="Times New Roman" w:hAnsi="Times New Roman"/>
          <w:bCs/>
          <w:sz w:val="24"/>
          <w:szCs w:val="24"/>
        </w:rPr>
        <w:t xml:space="preserve"> examples</w:t>
      </w:r>
      <w:r>
        <w:rPr>
          <w:rFonts w:ascii="Times New Roman" w:hAnsi="Times New Roman"/>
          <w:bCs/>
          <w:sz w:val="24"/>
          <w:szCs w:val="24"/>
        </w:rPr>
        <w:t xml:space="preserve"> of</w:t>
      </w:r>
      <w:r w:rsidRPr="00EC6525">
        <w:rPr>
          <w:rFonts w:ascii="Times New Roman" w:hAnsi="Times New Roman"/>
          <w:bCs/>
          <w:sz w:val="24"/>
          <w:szCs w:val="24"/>
        </w:rPr>
        <w:t xml:space="preserve"> internationally recognised scholars. The importance of some of these listings is difficult to assess but overall there is evidence that all assessment units are internationally connected and have some degree of international recognition. There are several examples of high calibre individual awards (e.g. Prof Widimsky at LF3 and Prof Svec at </w:t>
      </w:r>
      <w:r>
        <w:rPr>
          <w:rFonts w:ascii="Times New Roman" w:hAnsi="Times New Roman"/>
          <w:bCs/>
          <w:sz w:val="24"/>
          <w:szCs w:val="24"/>
        </w:rPr>
        <w:t>FaF</w:t>
      </w:r>
      <w:r w:rsidRPr="00EC6525">
        <w:rPr>
          <w:rFonts w:ascii="Times New Roman" w:hAnsi="Times New Roman"/>
          <w:bCs/>
          <w:sz w:val="24"/>
          <w:szCs w:val="24"/>
        </w:rPr>
        <w:t xml:space="preserve"> HK) indicating very solid international reputation. Several CUNI academics are editors of high quality journals and further members of staff are members of editorial boards. </w:t>
      </w:r>
    </w:p>
    <w:p w14:paraId="1F398E36" w14:textId="77777777" w:rsidR="008E3C21" w:rsidRPr="00EC6525" w:rsidRDefault="008E3C21" w:rsidP="008E3C21">
      <w:pPr>
        <w:spacing w:after="0" w:line="360" w:lineRule="auto"/>
        <w:jc w:val="both"/>
        <w:rPr>
          <w:rFonts w:ascii="Times New Roman" w:hAnsi="Times New Roman"/>
          <w:bCs/>
          <w:sz w:val="24"/>
          <w:szCs w:val="24"/>
        </w:rPr>
      </w:pPr>
    </w:p>
    <w:p w14:paraId="7E116C07"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LF1: The self-evaluation report lists examples of 10 persons serving on editorial boards of international journal; a number of invited lectures in both directions (~10 good examples provided); 10 examples of significant elected members of international societies. </w:t>
      </w:r>
    </w:p>
    <w:p w14:paraId="7D6A5481"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LF2: The self-evaluation report suggests 10 persons serving on editorial boards of international journal; invited lectures in both directions (~10 examples provided); 10 examples of significant elected members of international societies. </w:t>
      </w:r>
    </w:p>
    <w:p w14:paraId="7338E4C0"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LF3: Self-evaluation lists 3 personal international awards, and gives examples of 8 persons serving on editorial boards of international journal; invited lectures in both directions (a few (4+5) examples provided); 5 examples of significant elected members of international societies. </w:t>
      </w:r>
    </w:p>
    <w:p w14:paraId="68AC9EBF"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 Pilsen: The self-evaluation report suggests 10 persons serving on editorial boards of international journal; invited lectures in both directions (~10 examples provided); 10 examples of significant elected members of international societies. </w:t>
      </w:r>
    </w:p>
    <w:p w14:paraId="4152EF1C"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LFHK: Self-evaluation lists 2 international personal awards, and gives examples of 8 persons serving on editorial boards of international journal; examples of 10 invited lectures in both directions (10+10) provided; 10 examples of members of international bodies given. </w:t>
      </w:r>
    </w:p>
    <w:p w14:paraId="25ABEA54" w14:textId="77777777" w:rsidR="008E3C21" w:rsidRPr="00EC6525" w:rsidRDefault="008E3C21" w:rsidP="008E3C21">
      <w:pPr>
        <w:spacing w:after="0" w:line="360" w:lineRule="auto"/>
        <w:jc w:val="both"/>
        <w:rPr>
          <w:rFonts w:ascii="Times New Roman" w:hAnsi="Times New Roman"/>
          <w:bCs/>
          <w:sz w:val="24"/>
          <w:szCs w:val="24"/>
        </w:rPr>
      </w:pPr>
      <w:r>
        <w:rPr>
          <w:rFonts w:ascii="Times New Roman" w:hAnsi="Times New Roman"/>
          <w:bCs/>
          <w:sz w:val="24"/>
          <w:szCs w:val="24"/>
        </w:rPr>
        <w:t>FaF</w:t>
      </w:r>
      <w:r w:rsidRPr="00EC6525">
        <w:rPr>
          <w:rFonts w:ascii="Times New Roman" w:hAnsi="Times New Roman"/>
          <w:bCs/>
          <w:sz w:val="24"/>
          <w:szCs w:val="24"/>
        </w:rPr>
        <w:t xml:space="preserve"> HK: Self-evaluation lists 2 international awards, and gives examples of 8 persons serving on editorial boards of international journal (1 person serves in 3 boards</w:t>
      </w:r>
      <w:r>
        <w:rPr>
          <w:rFonts w:ascii="Times New Roman" w:hAnsi="Times New Roman"/>
          <w:bCs/>
          <w:sz w:val="24"/>
          <w:szCs w:val="24"/>
        </w:rPr>
        <w:t>, editor in chief in 2 journals</w:t>
      </w:r>
      <w:r w:rsidRPr="00EC6525">
        <w:rPr>
          <w:rFonts w:ascii="Times New Roman" w:hAnsi="Times New Roman"/>
          <w:bCs/>
          <w:sz w:val="24"/>
          <w:szCs w:val="24"/>
        </w:rPr>
        <w:t xml:space="preserve">); examples of 10 invited lectures in both directions (10+10) provided; </w:t>
      </w:r>
      <w:r>
        <w:rPr>
          <w:rFonts w:ascii="Times New Roman" w:hAnsi="Times New Roman"/>
          <w:bCs/>
          <w:sz w:val="24"/>
          <w:szCs w:val="24"/>
        </w:rPr>
        <w:t>2</w:t>
      </w:r>
      <w:r w:rsidRPr="00EC6525">
        <w:rPr>
          <w:rFonts w:ascii="Times New Roman" w:hAnsi="Times New Roman"/>
          <w:bCs/>
          <w:sz w:val="24"/>
          <w:szCs w:val="24"/>
        </w:rPr>
        <w:t xml:space="preserve"> examples of members of international bodies </w:t>
      </w:r>
      <w:r>
        <w:rPr>
          <w:rFonts w:ascii="Times New Roman" w:hAnsi="Times New Roman"/>
          <w:bCs/>
          <w:sz w:val="24"/>
          <w:szCs w:val="24"/>
        </w:rPr>
        <w:t xml:space="preserve"> and 5 examples of membership in professional Czech societies </w:t>
      </w:r>
      <w:r w:rsidRPr="00EC6525">
        <w:rPr>
          <w:rFonts w:ascii="Times New Roman" w:hAnsi="Times New Roman"/>
          <w:bCs/>
          <w:sz w:val="24"/>
          <w:szCs w:val="24"/>
        </w:rPr>
        <w:t>given.</w:t>
      </w:r>
    </w:p>
    <w:p w14:paraId="4F49543C" w14:textId="77777777" w:rsidR="008E3C21" w:rsidRPr="00EC6525" w:rsidRDefault="008E3C21" w:rsidP="008E3C21">
      <w:pPr>
        <w:spacing w:after="0" w:line="360" w:lineRule="auto"/>
        <w:jc w:val="both"/>
        <w:rPr>
          <w:rFonts w:ascii="Times New Roman" w:hAnsi="Times New Roman"/>
          <w:bCs/>
          <w:sz w:val="24"/>
          <w:szCs w:val="24"/>
        </w:rPr>
      </w:pPr>
    </w:p>
    <w:p w14:paraId="4B3152B8" w14:textId="77777777" w:rsidR="008E3C21" w:rsidRPr="00EC6525" w:rsidRDefault="008E3C21" w:rsidP="008E3C21">
      <w:pPr>
        <w:spacing w:after="0" w:line="360" w:lineRule="auto"/>
        <w:jc w:val="both"/>
        <w:rPr>
          <w:rFonts w:ascii="Times New Roman" w:hAnsi="Times New Roman"/>
          <w:bCs/>
          <w:sz w:val="24"/>
          <w:szCs w:val="24"/>
        </w:rPr>
      </w:pPr>
    </w:p>
    <w:p w14:paraId="3E3F3D47" w14:textId="77777777" w:rsidR="008E3C21" w:rsidRPr="006A364F" w:rsidRDefault="008E3C21" w:rsidP="008E3C21">
      <w:pPr>
        <w:spacing w:after="0" w:line="360" w:lineRule="auto"/>
        <w:jc w:val="both"/>
        <w:rPr>
          <w:rFonts w:ascii="Times New Roman" w:hAnsi="Times New Roman"/>
          <w:bCs/>
          <w:sz w:val="24"/>
          <w:szCs w:val="24"/>
        </w:rPr>
      </w:pPr>
      <w:r w:rsidRPr="006A364F">
        <w:rPr>
          <w:rFonts w:ascii="Times New Roman" w:hAnsi="Times New Roman"/>
          <w:b/>
          <w:bCs/>
          <w:sz w:val="24"/>
          <w:szCs w:val="24"/>
        </w:rPr>
        <w:t>Collaboratio</w:t>
      </w:r>
      <w:r>
        <w:rPr>
          <w:rFonts w:ascii="Times New Roman" w:hAnsi="Times New Roman"/>
          <w:b/>
          <w:bCs/>
          <w:sz w:val="24"/>
          <w:szCs w:val="24"/>
        </w:rPr>
        <w:t>n</w:t>
      </w:r>
    </w:p>
    <w:p w14:paraId="1B1E9DDE" w14:textId="49891386" w:rsidR="008E3C21" w:rsidRPr="00EC6525" w:rsidRDefault="008E3C21" w:rsidP="008E3C21">
      <w:pPr>
        <w:spacing w:line="360" w:lineRule="auto"/>
        <w:rPr>
          <w:rFonts w:ascii="Times New Roman" w:hAnsi="Times New Roman"/>
          <w:bCs/>
          <w:sz w:val="24"/>
          <w:szCs w:val="24"/>
        </w:rPr>
      </w:pPr>
      <w:r>
        <w:rPr>
          <w:rFonts w:ascii="Times New Roman" w:hAnsi="Times New Roman"/>
          <w:bCs/>
          <w:sz w:val="24"/>
          <w:szCs w:val="24"/>
        </w:rPr>
        <w:t>Each faculty</w:t>
      </w:r>
      <w:r w:rsidRPr="00EC6525">
        <w:rPr>
          <w:rFonts w:ascii="Times New Roman" w:hAnsi="Times New Roman"/>
          <w:bCs/>
          <w:sz w:val="24"/>
          <w:szCs w:val="24"/>
        </w:rPr>
        <w:t xml:space="preserve"> reported guest lectures of CUNI staff at international universit</w:t>
      </w:r>
      <w:r w:rsidR="0015014C">
        <w:rPr>
          <w:rFonts w:ascii="Times New Roman" w:hAnsi="Times New Roman"/>
          <w:bCs/>
          <w:sz w:val="24"/>
          <w:szCs w:val="24"/>
        </w:rPr>
        <w:t>ies</w:t>
      </w:r>
      <w:r w:rsidRPr="00EC6525">
        <w:rPr>
          <w:rFonts w:ascii="Times New Roman" w:hAnsi="Times New Roman"/>
          <w:bCs/>
          <w:sz w:val="24"/>
          <w:szCs w:val="24"/>
        </w:rPr>
        <w:t xml:space="preserve"> and vice versa. Each assessment unit also reports receiving funding for international collaborative projects</w:t>
      </w:r>
      <w:r w:rsidR="0015014C">
        <w:rPr>
          <w:rFonts w:ascii="Times New Roman" w:hAnsi="Times New Roman"/>
          <w:bCs/>
          <w:sz w:val="24"/>
          <w:szCs w:val="24"/>
        </w:rPr>
        <w:t>,</w:t>
      </w:r>
      <w:r w:rsidRPr="00EC6525">
        <w:rPr>
          <w:rFonts w:ascii="Times New Roman" w:hAnsi="Times New Roman"/>
          <w:bCs/>
          <w:sz w:val="24"/>
          <w:szCs w:val="24"/>
        </w:rPr>
        <w:t xml:space="preserve"> but the distribution among the 6 assessment units is very unequal. By far</w:t>
      </w:r>
      <w:r w:rsidR="0015014C">
        <w:rPr>
          <w:rFonts w:ascii="Times New Roman" w:hAnsi="Times New Roman"/>
          <w:bCs/>
          <w:sz w:val="24"/>
          <w:szCs w:val="24"/>
        </w:rPr>
        <w:t>,</w:t>
      </w:r>
      <w:r w:rsidRPr="00EC6525">
        <w:rPr>
          <w:rFonts w:ascii="Times New Roman" w:hAnsi="Times New Roman"/>
          <w:bCs/>
          <w:sz w:val="24"/>
          <w:szCs w:val="24"/>
        </w:rPr>
        <w:t xml:space="preserve"> the most international projects have been conducted at</w:t>
      </w:r>
      <w:r>
        <w:rPr>
          <w:rFonts w:ascii="Times New Roman" w:hAnsi="Times New Roman"/>
          <w:bCs/>
          <w:sz w:val="24"/>
          <w:szCs w:val="24"/>
        </w:rPr>
        <w:t xml:space="preserve"> </w:t>
      </w:r>
      <w:r w:rsidRPr="00EC6525">
        <w:rPr>
          <w:rFonts w:ascii="Times New Roman" w:hAnsi="Times New Roman"/>
          <w:bCs/>
          <w:sz w:val="24"/>
          <w:szCs w:val="24"/>
        </w:rPr>
        <w:t>LF1</w:t>
      </w:r>
      <w:r w:rsidR="0015014C">
        <w:rPr>
          <w:rFonts w:ascii="Times New Roman" w:hAnsi="Times New Roman"/>
          <w:bCs/>
          <w:sz w:val="24"/>
          <w:szCs w:val="24"/>
        </w:rPr>
        <w:t>, and</w:t>
      </w:r>
      <w:r>
        <w:rPr>
          <w:rFonts w:ascii="Times New Roman" w:hAnsi="Times New Roman"/>
          <w:bCs/>
          <w:sz w:val="24"/>
          <w:szCs w:val="24"/>
        </w:rPr>
        <w:t xml:space="preserve">the funds raised by the conducted projects have </w:t>
      </w:r>
      <w:r w:rsidR="0015014C">
        <w:rPr>
          <w:rFonts w:ascii="Times New Roman" w:hAnsi="Times New Roman"/>
          <w:bCs/>
          <w:sz w:val="24"/>
          <w:szCs w:val="24"/>
        </w:rPr>
        <w:t>also been the highest</w:t>
      </w:r>
      <w:r>
        <w:rPr>
          <w:rFonts w:ascii="Times New Roman" w:hAnsi="Times New Roman"/>
          <w:bCs/>
          <w:sz w:val="24"/>
          <w:szCs w:val="24"/>
        </w:rPr>
        <w:t xml:space="preserve"> (2 million €).</w:t>
      </w:r>
      <w:r w:rsidRPr="00EC6525">
        <w:rPr>
          <w:rFonts w:ascii="Times New Roman" w:hAnsi="Times New Roman"/>
          <w:bCs/>
          <w:sz w:val="24"/>
          <w:szCs w:val="24"/>
        </w:rPr>
        <w:t xml:space="preserve"> </w:t>
      </w:r>
      <w:r>
        <w:rPr>
          <w:rFonts w:ascii="Times New Roman" w:hAnsi="Times New Roman"/>
          <w:bCs/>
          <w:sz w:val="24"/>
          <w:szCs w:val="24"/>
        </w:rPr>
        <w:t>T</w:t>
      </w:r>
      <w:r w:rsidRPr="00EC6525">
        <w:rPr>
          <w:rFonts w:ascii="Times New Roman" w:hAnsi="Times New Roman"/>
          <w:bCs/>
          <w:sz w:val="24"/>
          <w:szCs w:val="24"/>
        </w:rPr>
        <w:t xml:space="preserve">he collaboration of assessment units outside Prague has been very modest (see section 3 for more detail). There are also </w:t>
      </w:r>
      <w:r>
        <w:rPr>
          <w:rFonts w:ascii="Times New Roman" w:hAnsi="Times New Roman"/>
          <w:bCs/>
          <w:sz w:val="24"/>
          <w:szCs w:val="24"/>
        </w:rPr>
        <w:t xml:space="preserve">some </w:t>
      </w:r>
      <w:r w:rsidRPr="00EC6525">
        <w:rPr>
          <w:rFonts w:ascii="Times New Roman" w:hAnsi="Times New Roman"/>
          <w:bCs/>
          <w:sz w:val="24"/>
          <w:szCs w:val="24"/>
        </w:rPr>
        <w:t>international collaborations without additional funds (e.g. informal research networks)</w:t>
      </w:r>
      <w:r>
        <w:rPr>
          <w:rFonts w:ascii="Times New Roman" w:hAnsi="Times New Roman"/>
          <w:bCs/>
          <w:sz w:val="24"/>
          <w:szCs w:val="24"/>
        </w:rPr>
        <w:t>.</w:t>
      </w:r>
      <w:r w:rsidRPr="00EC6525">
        <w:rPr>
          <w:rFonts w:ascii="Times New Roman" w:hAnsi="Times New Roman"/>
          <w:bCs/>
          <w:sz w:val="24"/>
          <w:szCs w:val="24"/>
        </w:rPr>
        <w:t xml:space="preserve"> </w:t>
      </w:r>
    </w:p>
    <w:p w14:paraId="009B15A9" w14:textId="77777777" w:rsidR="008E3C21" w:rsidRPr="00EC6525" w:rsidRDefault="008E3C21" w:rsidP="008E3C21">
      <w:pPr>
        <w:spacing w:line="360" w:lineRule="auto"/>
        <w:rPr>
          <w:rFonts w:ascii="Times New Roman" w:hAnsi="Times New Roman"/>
          <w:bCs/>
          <w:sz w:val="24"/>
          <w:szCs w:val="24"/>
        </w:rPr>
      </w:pPr>
    </w:p>
    <w:p w14:paraId="589A96DC" w14:textId="6EADDA1D" w:rsidR="008E3C21" w:rsidRPr="00EC6525" w:rsidRDefault="008E3C21" w:rsidP="008E3C21">
      <w:pPr>
        <w:spacing w:line="360" w:lineRule="auto"/>
        <w:rPr>
          <w:rFonts w:ascii="Times New Roman" w:hAnsi="Times New Roman"/>
          <w:sz w:val="24"/>
          <w:szCs w:val="24"/>
        </w:rPr>
      </w:pPr>
      <w:r>
        <w:rPr>
          <w:rFonts w:ascii="Times New Roman" w:hAnsi="Times New Roman"/>
          <w:bCs/>
          <w:sz w:val="24"/>
          <w:szCs w:val="24"/>
        </w:rPr>
        <w:t xml:space="preserve">One imperfect </w:t>
      </w:r>
      <w:r w:rsidRPr="00EC6525">
        <w:rPr>
          <w:rFonts w:ascii="Times New Roman" w:hAnsi="Times New Roman"/>
          <w:bCs/>
          <w:sz w:val="24"/>
          <w:szCs w:val="24"/>
        </w:rPr>
        <w:t xml:space="preserve">measure of international collaborations, and </w:t>
      </w:r>
      <w:r>
        <w:rPr>
          <w:rFonts w:ascii="Times New Roman" w:hAnsi="Times New Roman"/>
          <w:bCs/>
          <w:sz w:val="24"/>
          <w:szCs w:val="24"/>
        </w:rPr>
        <w:t xml:space="preserve">of </w:t>
      </w:r>
      <w:r w:rsidRPr="00EC6525">
        <w:rPr>
          <w:rFonts w:ascii="Times New Roman" w:hAnsi="Times New Roman"/>
          <w:bCs/>
          <w:sz w:val="24"/>
          <w:szCs w:val="24"/>
        </w:rPr>
        <w:t xml:space="preserve">the importance of CUNI partners in such collaborations, is the proportion of papers of CUNI authors who were first or last authors in scientific papers. </w:t>
      </w:r>
      <w:r>
        <w:rPr>
          <w:rFonts w:ascii="Times New Roman" w:hAnsi="Times New Roman"/>
          <w:bCs/>
          <w:sz w:val="24"/>
          <w:szCs w:val="24"/>
        </w:rPr>
        <w:t>T</w:t>
      </w:r>
      <w:r w:rsidRPr="00EC6525">
        <w:rPr>
          <w:rFonts w:ascii="Times New Roman" w:hAnsi="Times New Roman"/>
          <w:bCs/>
          <w:sz w:val="24"/>
          <w:szCs w:val="24"/>
        </w:rPr>
        <w:t xml:space="preserve">able </w:t>
      </w:r>
      <w:r>
        <w:rPr>
          <w:rFonts w:ascii="Times New Roman" w:hAnsi="Times New Roman"/>
          <w:bCs/>
          <w:sz w:val="24"/>
          <w:szCs w:val="24"/>
        </w:rPr>
        <w:t xml:space="preserve">E.1 </w:t>
      </w:r>
      <w:r w:rsidRPr="00EC6525">
        <w:rPr>
          <w:rFonts w:ascii="Times New Roman" w:hAnsi="Times New Roman"/>
          <w:bCs/>
          <w:sz w:val="24"/>
          <w:szCs w:val="24"/>
        </w:rPr>
        <w:t xml:space="preserve">and </w:t>
      </w:r>
      <w:r>
        <w:rPr>
          <w:rFonts w:ascii="Times New Roman" w:hAnsi="Times New Roman"/>
          <w:bCs/>
          <w:sz w:val="24"/>
          <w:szCs w:val="24"/>
        </w:rPr>
        <w:t>F</w:t>
      </w:r>
      <w:r w:rsidRPr="00EC6525">
        <w:rPr>
          <w:rFonts w:ascii="Times New Roman" w:hAnsi="Times New Roman"/>
          <w:bCs/>
          <w:sz w:val="24"/>
          <w:szCs w:val="24"/>
        </w:rPr>
        <w:t xml:space="preserve">igure </w:t>
      </w:r>
      <w:r>
        <w:rPr>
          <w:rFonts w:ascii="Times New Roman" w:hAnsi="Times New Roman"/>
          <w:bCs/>
          <w:sz w:val="24"/>
          <w:szCs w:val="24"/>
        </w:rPr>
        <w:t>E.</w:t>
      </w:r>
      <w:r w:rsidRPr="00EC6525">
        <w:rPr>
          <w:rFonts w:ascii="Times New Roman" w:hAnsi="Times New Roman"/>
          <w:bCs/>
          <w:sz w:val="24"/>
          <w:szCs w:val="24"/>
        </w:rPr>
        <w:t xml:space="preserve">1 below show the </w:t>
      </w:r>
      <w:r w:rsidRPr="00EC6525">
        <w:rPr>
          <w:rFonts w:ascii="Times New Roman" w:hAnsi="Times New Roman"/>
          <w:sz w:val="24"/>
          <w:szCs w:val="24"/>
        </w:rPr>
        <w:t xml:space="preserve">proportion of papers with CUNI staff as a first or last author, by journal category. </w:t>
      </w:r>
      <w:r>
        <w:rPr>
          <w:rFonts w:ascii="Times New Roman" w:hAnsi="Times New Roman"/>
          <w:sz w:val="24"/>
          <w:szCs w:val="24"/>
        </w:rPr>
        <w:t>While this comparison is affected by the fact that many papers, particularly in lower im</w:t>
      </w:r>
      <w:r w:rsidR="0015014C">
        <w:rPr>
          <w:rFonts w:ascii="Times New Roman" w:hAnsi="Times New Roman"/>
          <w:sz w:val="24"/>
          <w:szCs w:val="24"/>
        </w:rPr>
        <w:t>p</w:t>
      </w:r>
      <w:r>
        <w:rPr>
          <w:rFonts w:ascii="Times New Roman" w:hAnsi="Times New Roman"/>
          <w:sz w:val="24"/>
          <w:szCs w:val="24"/>
        </w:rPr>
        <w:t>act journals, were by CUNI authors only, it is striking that o</w:t>
      </w:r>
      <w:r w:rsidRPr="00EC6525">
        <w:rPr>
          <w:rFonts w:ascii="Times New Roman" w:hAnsi="Times New Roman"/>
          <w:sz w:val="24"/>
          <w:szCs w:val="24"/>
        </w:rPr>
        <w:t xml:space="preserve">nly 21% of papers </w:t>
      </w:r>
      <w:r>
        <w:rPr>
          <w:rFonts w:ascii="Times New Roman" w:hAnsi="Times New Roman"/>
          <w:sz w:val="24"/>
          <w:szCs w:val="24"/>
        </w:rPr>
        <w:t xml:space="preserve">with CUNI co-authors </w:t>
      </w:r>
      <w:r w:rsidRPr="00EC6525">
        <w:rPr>
          <w:rFonts w:ascii="Times New Roman" w:hAnsi="Times New Roman"/>
          <w:sz w:val="24"/>
          <w:szCs w:val="24"/>
        </w:rPr>
        <w:t xml:space="preserve">in D1 category had a CUNI author as first or last author (the majority of papers with CUNI participation in D1 journals were international collaborative papers). This </w:t>
      </w:r>
      <w:r>
        <w:rPr>
          <w:rFonts w:ascii="Times New Roman" w:hAnsi="Times New Roman"/>
          <w:sz w:val="24"/>
          <w:szCs w:val="24"/>
        </w:rPr>
        <w:t>share</w:t>
      </w:r>
      <w:r w:rsidRPr="00EC6525">
        <w:rPr>
          <w:rFonts w:ascii="Times New Roman" w:hAnsi="Times New Roman"/>
          <w:sz w:val="24"/>
          <w:szCs w:val="24"/>
        </w:rPr>
        <w:t xml:space="preserve"> was increasing with declining journal importance, so that 80% of papers published in D4 journals had CUNI authors as first or/and last author. This suggests that in CUNI academics are relatively unlikely to lead the research reported in high quality journals. </w:t>
      </w:r>
    </w:p>
    <w:p w14:paraId="3D9A650B" w14:textId="77777777" w:rsidR="008E3C21" w:rsidRDefault="008E3C21" w:rsidP="008E3C21">
      <w:pPr>
        <w:rPr>
          <w:rFonts w:ascii="Times New Roman" w:hAnsi="Times New Roman"/>
          <w:b/>
          <w:sz w:val="24"/>
          <w:szCs w:val="24"/>
        </w:rPr>
      </w:pPr>
    </w:p>
    <w:p w14:paraId="6723243F" w14:textId="77777777" w:rsidR="008E3C21" w:rsidRDefault="008E3C21" w:rsidP="008E3C21">
      <w:pPr>
        <w:rPr>
          <w:rFonts w:ascii="Times New Roman" w:hAnsi="Times New Roman"/>
          <w:b/>
          <w:sz w:val="24"/>
          <w:szCs w:val="24"/>
        </w:rPr>
      </w:pPr>
    </w:p>
    <w:p w14:paraId="4A326924" w14:textId="77777777" w:rsidR="008E3C21" w:rsidRDefault="008E3C21" w:rsidP="008E3C21">
      <w:pPr>
        <w:spacing w:after="0" w:line="240" w:lineRule="auto"/>
        <w:rPr>
          <w:rFonts w:ascii="Times New Roman" w:hAnsi="Times New Roman"/>
          <w:b/>
          <w:sz w:val="24"/>
          <w:szCs w:val="24"/>
        </w:rPr>
      </w:pPr>
      <w:r>
        <w:rPr>
          <w:rFonts w:ascii="Times New Roman" w:hAnsi="Times New Roman"/>
          <w:b/>
          <w:sz w:val="24"/>
          <w:szCs w:val="24"/>
        </w:rPr>
        <w:t xml:space="preserve">Table E.1. </w:t>
      </w:r>
    </w:p>
    <w:p w14:paraId="0AF86545" w14:textId="77777777" w:rsidR="008E3C21" w:rsidRDefault="008E3C21" w:rsidP="008E3C21">
      <w:pPr>
        <w:spacing w:after="0" w:line="240" w:lineRule="auto"/>
        <w:rPr>
          <w:rFonts w:ascii="Times New Roman" w:hAnsi="Times New Roman"/>
          <w:b/>
          <w:sz w:val="24"/>
          <w:szCs w:val="24"/>
        </w:rPr>
      </w:pPr>
      <w:r w:rsidRPr="00EC6525">
        <w:rPr>
          <w:rFonts w:ascii="Times New Roman" w:hAnsi="Times New Roman"/>
          <w:b/>
          <w:sz w:val="24"/>
          <w:szCs w:val="24"/>
        </w:rPr>
        <w:t>Number</w:t>
      </w:r>
      <w:r>
        <w:rPr>
          <w:rFonts w:ascii="Times New Roman" w:hAnsi="Times New Roman"/>
          <w:b/>
          <w:sz w:val="24"/>
          <w:szCs w:val="24"/>
        </w:rPr>
        <w:t>s</w:t>
      </w:r>
      <w:r w:rsidRPr="00EC6525">
        <w:rPr>
          <w:rFonts w:ascii="Times New Roman" w:hAnsi="Times New Roman"/>
          <w:b/>
          <w:sz w:val="24"/>
          <w:szCs w:val="24"/>
        </w:rPr>
        <w:t xml:space="preserve"> (%) of papers with CUNI staff as first or last author, by journal category. </w:t>
      </w:r>
    </w:p>
    <w:p w14:paraId="7651BDB6" w14:textId="77777777" w:rsidR="008E3C21" w:rsidRPr="00EC6525" w:rsidRDefault="008E3C21" w:rsidP="008E3C21">
      <w:pPr>
        <w:spacing w:after="0" w:line="240" w:lineRule="auto"/>
        <w:rPr>
          <w:rFonts w:ascii="Times New Roman" w:hAnsi="Times New Roman"/>
          <w:b/>
          <w:sz w:val="24"/>
          <w:szCs w:val="24"/>
        </w:rPr>
      </w:pPr>
    </w:p>
    <w:tbl>
      <w:tblPr>
        <w:tblStyle w:val="Mkatabulky"/>
        <w:tblpPr w:leftFromText="181" w:rightFromText="181" w:vertAnchor="text" w:horzAnchor="margin" w:tblpY="54"/>
        <w:tblW w:w="0" w:type="auto"/>
        <w:tblLook w:val="04A0" w:firstRow="1" w:lastRow="0" w:firstColumn="1" w:lastColumn="0" w:noHBand="0" w:noVBand="1"/>
      </w:tblPr>
      <w:tblGrid>
        <w:gridCol w:w="1032"/>
        <w:gridCol w:w="1032"/>
        <w:gridCol w:w="1032"/>
        <w:gridCol w:w="1032"/>
        <w:gridCol w:w="1032"/>
        <w:gridCol w:w="1032"/>
        <w:gridCol w:w="1032"/>
        <w:gridCol w:w="1032"/>
        <w:gridCol w:w="1032"/>
      </w:tblGrid>
      <w:tr w:rsidR="008E3C21" w:rsidRPr="00EC6525" w14:paraId="0777B861" w14:textId="77777777" w:rsidTr="008E3C21">
        <w:tc>
          <w:tcPr>
            <w:tcW w:w="1032" w:type="dxa"/>
            <w:vMerge w:val="restart"/>
          </w:tcPr>
          <w:p w14:paraId="38E7F16B"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lastRenderedPageBreak/>
              <w:t>Journal</w:t>
            </w:r>
          </w:p>
          <w:p w14:paraId="35256AEA"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category</w:t>
            </w:r>
          </w:p>
        </w:tc>
        <w:tc>
          <w:tcPr>
            <w:tcW w:w="2064" w:type="dxa"/>
            <w:gridSpan w:val="2"/>
          </w:tcPr>
          <w:p w14:paraId="77837310"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No first no last</w:t>
            </w:r>
          </w:p>
        </w:tc>
        <w:tc>
          <w:tcPr>
            <w:tcW w:w="2064" w:type="dxa"/>
            <w:gridSpan w:val="2"/>
          </w:tcPr>
          <w:p w14:paraId="08E227C6"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First or last</w:t>
            </w:r>
          </w:p>
        </w:tc>
        <w:tc>
          <w:tcPr>
            <w:tcW w:w="2064" w:type="dxa"/>
            <w:gridSpan w:val="2"/>
          </w:tcPr>
          <w:p w14:paraId="671C8D40"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First and last</w:t>
            </w:r>
          </w:p>
        </w:tc>
        <w:tc>
          <w:tcPr>
            <w:tcW w:w="2064" w:type="dxa"/>
            <w:gridSpan w:val="2"/>
          </w:tcPr>
          <w:p w14:paraId="4D63C48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Total</w:t>
            </w:r>
          </w:p>
        </w:tc>
      </w:tr>
      <w:tr w:rsidR="008E3C21" w:rsidRPr="00EC6525" w14:paraId="4EE72C52" w14:textId="77777777" w:rsidTr="008E3C21">
        <w:tc>
          <w:tcPr>
            <w:tcW w:w="1032" w:type="dxa"/>
            <w:vMerge/>
          </w:tcPr>
          <w:p w14:paraId="16E91757" w14:textId="77777777" w:rsidR="008E3C21" w:rsidRPr="00EC6525" w:rsidRDefault="008E3C21" w:rsidP="008E3C21">
            <w:pPr>
              <w:rPr>
                <w:rFonts w:ascii="Times New Roman" w:hAnsi="Times New Roman"/>
                <w:b/>
                <w:sz w:val="24"/>
                <w:szCs w:val="24"/>
              </w:rPr>
            </w:pPr>
          </w:p>
        </w:tc>
        <w:tc>
          <w:tcPr>
            <w:tcW w:w="1032" w:type="dxa"/>
          </w:tcPr>
          <w:p w14:paraId="07311DA1"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024A65BC"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c>
          <w:tcPr>
            <w:tcW w:w="1032" w:type="dxa"/>
          </w:tcPr>
          <w:p w14:paraId="7B2D9245"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1E514B05"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c>
          <w:tcPr>
            <w:tcW w:w="1032" w:type="dxa"/>
          </w:tcPr>
          <w:p w14:paraId="2FB7C33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37C95BB1"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c>
          <w:tcPr>
            <w:tcW w:w="1032" w:type="dxa"/>
          </w:tcPr>
          <w:p w14:paraId="42CF640D"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N</w:t>
            </w:r>
          </w:p>
        </w:tc>
        <w:tc>
          <w:tcPr>
            <w:tcW w:w="1032" w:type="dxa"/>
          </w:tcPr>
          <w:p w14:paraId="293E1CE4"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w:t>
            </w:r>
          </w:p>
        </w:tc>
      </w:tr>
      <w:tr w:rsidR="008E3C21" w:rsidRPr="00EC6525" w14:paraId="621295DD" w14:textId="77777777" w:rsidTr="008E3C21">
        <w:tc>
          <w:tcPr>
            <w:tcW w:w="1032" w:type="dxa"/>
          </w:tcPr>
          <w:p w14:paraId="159C294C"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D1</w:t>
            </w:r>
          </w:p>
        </w:tc>
        <w:tc>
          <w:tcPr>
            <w:tcW w:w="1032" w:type="dxa"/>
          </w:tcPr>
          <w:p w14:paraId="22E9047B"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686</w:t>
            </w:r>
          </w:p>
        </w:tc>
        <w:tc>
          <w:tcPr>
            <w:tcW w:w="1032" w:type="dxa"/>
          </w:tcPr>
          <w:p w14:paraId="605D9B2E"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79%</w:t>
            </w:r>
          </w:p>
        </w:tc>
        <w:tc>
          <w:tcPr>
            <w:tcW w:w="1032" w:type="dxa"/>
          </w:tcPr>
          <w:p w14:paraId="02170BE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91</w:t>
            </w:r>
          </w:p>
        </w:tc>
        <w:tc>
          <w:tcPr>
            <w:tcW w:w="1032" w:type="dxa"/>
          </w:tcPr>
          <w:p w14:paraId="49306EB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w:t>
            </w:r>
          </w:p>
        </w:tc>
        <w:tc>
          <w:tcPr>
            <w:tcW w:w="1032" w:type="dxa"/>
          </w:tcPr>
          <w:p w14:paraId="62152FF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96</w:t>
            </w:r>
          </w:p>
        </w:tc>
        <w:tc>
          <w:tcPr>
            <w:tcW w:w="1032" w:type="dxa"/>
          </w:tcPr>
          <w:p w14:paraId="61DED9E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11%</w:t>
            </w:r>
          </w:p>
        </w:tc>
        <w:tc>
          <w:tcPr>
            <w:tcW w:w="1032" w:type="dxa"/>
          </w:tcPr>
          <w:p w14:paraId="3D5A0FF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873</w:t>
            </w:r>
          </w:p>
        </w:tc>
        <w:tc>
          <w:tcPr>
            <w:tcW w:w="1032" w:type="dxa"/>
          </w:tcPr>
          <w:p w14:paraId="4324490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35097E84" w14:textId="77777777" w:rsidTr="008E3C21">
        <w:tc>
          <w:tcPr>
            <w:tcW w:w="1032" w:type="dxa"/>
          </w:tcPr>
          <w:p w14:paraId="7E0C36F1"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Q1</w:t>
            </w:r>
          </w:p>
        </w:tc>
        <w:tc>
          <w:tcPr>
            <w:tcW w:w="1032" w:type="dxa"/>
          </w:tcPr>
          <w:p w14:paraId="35A4BED3"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547</w:t>
            </w:r>
          </w:p>
        </w:tc>
        <w:tc>
          <w:tcPr>
            <w:tcW w:w="1032" w:type="dxa"/>
          </w:tcPr>
          <w:p w14:paraId="0C39877C" w14:textId="77777777" w:rsidR="008E3C21" w:rsidRPr="00883590" w:rsidRDefault="008E3C21" w:rsidP="008E3C21">
            <w:pPr>
              <w:jc w:val="center"/>
              <w:rPr>
                <w:rFonts w:ascii="Times New Roman" w:hAnsi="Times New Roman"/>
                <w:color w:val="FF0000"/>
                <w:sz w:val="24"/>
                <w:szCs w:val="24"/>
              </w:rPr>
            </w:pPr>
            <w:r w:rsidRPr="00883590">
              <w:rPr>
                <w:rFonts w:ascii="Times New Roman" w:hAnsi="Times New Roman"/>
                <w:color w:val="FF0000"/>
                <w:sz w:val="24"/>
                <w:szCs w:val="24"/>
              </w:rPr>
              <w:t>56%</w:t>
            </w:r>
          </w:p>
        </w:tc>
        <w:tc>
          <w:tcPr>
            <w:tcW w:w="1032" w:type="dxa"/>
          </w:tcPr>
          <w:p w14:paraId="160F69E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173</w:t>
            </w:r>
          </w:p>
        </w:tc>
        <w:tc>
          <w:tcPr>
            <w:tcW w:w="1032" w:type="dxa"/>
          </w:tcPr>
          <w:p w14:paraId="685F86A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18%</w:t>
            </w:r>
          </w:p>
        </w:tc>
        <w:tc>
          <w:tcPr>
            <w:tcW w:w="1032" w:type="dxa"/>
          </w:tcPr>
          <w:p w14:paraId="33BEBC6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258</w:t>
            </w:r>
          </w:p>
        </w:tc>
        <w:tc>
          <w:tcPr>
            <w:tcW w:w="1032" w:type="dxa"/>
          </w:tcPr>
          <w:p w14:paraId="374E39D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26%</w:t>
            </w:r>
          </w:p>
        </w:tc>
        <w:tc>
          <w:tcPr>
            <w:tcW w:w="1032" w:type="dxa"/>
          </w:tcPr>
          <w:p w14:paraId="4F0DF46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978</w:t>
            </w:r>
          </w:p>
        </w:tc>
        <w:tc>
          <w:tcPr>
            <w:tcW w:w="1032" w:type="dxa"/>
          </w:tcPr>
          <w:p w14:paraId="6566D51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4AFF4A4D" w14:textId="77777777" w:rsidTr="008E3C21">
        <w:tc>
          <w:tcPr>
            <w:tcW w:w="1032" w:type="dxa"/>
          </w:tcPr>
          <w:p w14:paraId="48475968"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Q2</w:t>
            </w:r>
          </w:p>
        </w:tc>
        <w:tc>
          <w:tcPr>
            <w:tcW w:w="1032" w:type="dxa"/>
          </w:tcPr>
          <w:p w14:paraId="743DC13F"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648</w:t>
            </w:r>
          </w:p>
        </w:tc>
        <w:tc>
          <w:tcPr>
            <w:tcW w:w="1032" w:type="dxa"/>
          </w:tcPr>
          <w:p w14:paraId="002B7F4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35%</w:t>
            </w:r>
          </w:p>
        </w:tc>
        <w:tc>
          <w:tcPr>
            <w:tcW w:w="1032" w:type="dxa"/>
          </w:tcPr>
          <w:p w14:paraId="1FBDB3B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439</w:t>
            </w:r>
          </w:p>
        </w:tc>
        <w:tc>
          <w:tcPr>
            <w:tcW w:w="1032" w:type="dxa"/>
          </w:tcPr>
          <w:p w14:paraId="4BA4117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23%</w:t>
            </w:r>
          </w:p>
        </w:tc>
        <w:tc>
          <w:tcPr>
            <w:tcW w:w="1032" w:type="dxa"/>
          </w:tcPr>
          <w:p w14:paraId="703E6A2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786</w:t>
            </w:r>
          </w:p>
        </w:tc>
        <w:tc>
          <w:tcPr>
            <w:tcW w:w="1032" w:type="dxa"/>
          </w:tcPr>
          <w:p w14:paraId="257C34C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42%</w:t>
            </w:r>
          </w:p>
        </w:tc>
        <w:tc>
          <w:tcPr>
            <w:tcW w:w="1032" w:type="dxa"/>
          </w:tcPr>
          <w:p w14:paraId="2901E75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1873</w:t>
            </w:r>
          </w:p>
        </w:tc>
        <w:tc>
          <w:tcPr>
            <w:tcW w:w="1032" w:type="dxa"/>
          </w:tcPr>
          <w:p w14:paraId="4915237D"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1EBBC51C" w14:textId="77777777" w:rsidTr="008E3C21">
        <w:tc>
          <w:tcPr>
            <w:tcW w:w="1032" w:type="dxa"/>
          </w:tcPr>
          <w:p w14:paraId="3ED24849"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Q3</w:t>
            </w:r>
          </w:p>
        </w:tc>
        <w:tc>
          <w:tcPr>
            <w:tcW w:w="1032" w:type="dxa"/>
          </w:tcPr>
          <w:p w14:paraId="242BE9F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330</w:t>
            </w:r>
          </w:p>
        </w:tc>
        <w:tc>
          <w:tcPr>
            <w:tcW w:w="1032" w:type="dxa"/>
          </w:tcPr>
          <w:p w14:paraId="43BB939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25%</w:t>
            </w:r>
          </w:p>
        </w:tc>
        <w:tc>
          <w:tcPr>
            <w:tcW w:w="1032" w:type="dxa"/>
          </w:tcPr>
          <w:p w14:paraId="0E196F5B"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326</w:t>
            </w:r>
          </w:p>
        </w:tc>
        <w:tc>
          <w:tcPr>
            <w:tcW w:w="1032" w:type="dxa"/>
          </w:tcPr>
          <w:p w14:paraId="00D1C0B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24%</w:t>
            </w:r>
          </w:p>
        </w:tc>
        <w:tc>
          <w:tcPr>
            <w:tcW w:w="1032" w:type="dxa"/>
          </w:tcPr>
          <w:p w14:paraId="09D9F67C"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679</w:t>
            </w:r>
          </w:p>
        </w:tc>
        <w:tc>
          <w:tcPr>
            <w:tcW w:w="1032" w:type="dxa"/>
          </w:tcPr>
          <w:p w14:paraId="09D19EA9"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51%</w:t>
            </w:r>
          </w:p>
        </w:tc>
        <w:tc>
          <w:tcPr>
            <w:tcW w:w="1032" w:type="dxa"/>
          </w:tcPr>
          <w:p w14:paraId="49C06D6F"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1335</w:t>
            </w:r>
          </w:p>
        </w:tc>
        <w:tc>
          <w:tcPr>
            <w:tcW w:w="1032" w:type="dxa"/>
          </w:tcPr>
          <w:p w14:paraId="763307B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1EA1B95C" w14:textId="77777777" w:rsidTr="008E3C21">
        <w:tc>
          <w:tcPr>
            <w:tcW w:w="1032" w:type="dxa"/>
          </w:tcPr>
          <w:p w14:paraId="24857D8B"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Q4</w:t>
            </w:r>
          </w:p>
        </w:tc>
        <w:tc>
          <w:tcPr>
            <w:tcW w:w="1032" w:type="dxa"/>
          </w:tcPr>
          <w:p w14:paraId="302E041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431</w:t>
            </w:r>
          </w:p>
        </w:tc>
        <w:tc>
          <w:tcPr>
            <w:tcW w:w="1032" w:type="dxa"/>
          </w:tcPr>
          <w:p w14:paraId="705F512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20%</w:t>
            </w:r>
          </w:p>
        </w:tc>
        <w:tc>
          <w:tcPr>
            <w:tcW w:w="1032" w:type="dxa"/>
          </w:tcPr>
          <w:p w14:paraId="13B90F80"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506</w:t>
            </w:r>
          </w:p>
        </w:tc>
        <w:tc>
          <w:tcPr>
            <w:tcW w:w="1032" w:type="dxa"/>
          </w:tcPr>
          <w:p w14:paraId="3D945C2B"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23%</w:t>
            </w:r>
          </w:p>
        </w:tc>
        <w:tc>
          <w:tcPr>
            <w:tcW w:w="1032" w:type="dxa"/>
          </w:tcPr>
          <w:p w14:paraId="7FA0C013"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1217</w:t>
            </w:r>
          </w:p>
        </w:tc>
        <w:tc>
          <w:tcPr>
            <w:tcW w:w="1032" w:type="dxa"/>
          </w:tcPr>
          <w:p w14:paraId="54F58CA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57%</w:t>
            </w:r>
          </w:p>
        </w:tc>
        <w:tc>
          <w:tcPr>
            <w:tcW w:w="1032" w:type="dxa"/>
          </w:tcPr>
          <w:p w14:paraId="6B22480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2154</w:t>
            </w:r>
          </w:p>
        </w:tc>
        <w:tc>
          <w:tcPr>
            <w:tcW w:w="1032" w:type="dxa"/>
          </w:tcPr>
          <w:p w14:paraId="1D31E819"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100%</w:t>
            </w:r>
          </w:p>
        </w:tc>
      </w:tr>
      <w:tr w:rsidR="008E3C21" w:rsidRPr="00EC6525" w14:paraId="7BC0FC63" w14:textId="77777777" w:rsidTr="008E3C21">
        <w:tc>
          <w:tcPr>
            <w:tcW w:w="1032" w:type="dxa"/>
          </w:tcPr>
          <w:p w14:paraId="3D50D3B1"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 xml:space="preserve">Total </w:t>
            </w:r>
          </w:p>
        </w:tc>
        <w:tc>
          <w:tcPr>
            <w:tcW w:w="1032" w:type="dxa"/>
          </w:tcPr>
          <w:p w14:paraId="60D5FBE6"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2642</w:t>
            </w:r>
          </w:p>
        </w:tc>
        <w:tc>
          <w:tcPr>
            <w:tcW w:w="1032" w:type="dxa"/>
          </w:tcPr>
          <w:p w14:paraId="0C2D9527"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37%</w:t>
            </w:r>
          </w:p>
        </w:tc>
        <w:tc>
          <w:tcPr>
            <w:tcW w:w="1032" w:type="dxa"/>
          </w:tcPr>
          <w:p w14:paraId="4BBFB08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1535</w:t>
            </w:r>
          </w:p>
        </w:tc>
        <w:tc>
          <w:tcPr>
            <w:tcW w:w="1032" w:type="dxa"/>
          </w:tcPr>
          <w:p w14:paraId="13E480E4"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21%</w:t>
            </w:r>
          </w:p>
        </w:tc>
        <w:tc>
          <w:tcPr>
            <w:tcW w:w="1032" w:type="dxa"/>
          </w:tcPr>
          <w:p w14:paraId="40316DBD"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3036</w:t>
            </w:r>
          </w:p>
        </w:tc>
        <w:tc>
          <w:tcPr>
            <w:tcW w:w="1032" w:type="dxa"/>
          </w:tcPr>
          <w:p w14:paraId="434BCD5E"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42%</w:t>
            </w:r>
          </w:p>
        </w:tc>
        <w:tc>
          <w:tcPr>
            <w:tcW w:w="1032" w:type="dxa"/>
          </w:tcPr>
          <w:p w14:paraId="4E126398"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7213</w:t>
            </w:r>
          </w:p>
        </w:tc>
        <w:tc>
          <w:tcPr>
            <w:tcW w:w="1032" w:type="dxa"/>
          </w:tcPr>
          <w:p w14:paraId="32838CE5"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100%</w:t>
            </w:r>
          </w:p>
        </w:tc>
      </w:tr>
    </w:tbl>
    <w:p w14:paraId="359F61F1" w14:textId="77777777" w:rsidR="008E3C21" w:rsidRDefault="008E3C21" w:rsidP="008E3C21">
      <w:pPr>
        <w:spacing w:line="240" w:lineRule="auto"/>
        <w:rPr>
          <w:rFonts w:ascii="Times New Roman" w:hAnsi="Times New Roman"/>
          <w:b/>
          <w:sz w:val="24"/>
          <w:szCs w:val="24"/>
        </w:rPr>
      </w:pPr>
    </w:p>
    <w:p w14:paraId="3E7D3DAE" w14:textId="77777777" w:rsidR="008E3C21" w:rsidRDefault="008E3C21" w:rsidP="008E3C21">
      <w:pPr>
        <w:spacing w:line="240" w:lineRule="auto"/>
        <w:rPr>
          <w:rFonts w:ascii="Times New Roman" w:hAnsi="Times New Roman"/>
          <w:b/>
          <w:sz w:val="24"/>
          <w:szCs w:val="24"/>
        </w:rPr>
      </w:pPr>
    </w:p>
    <w:p w14:paraId="65B421F6" w14:textId="77777777" w:rsidR="008E3C21" w:rsidRDefault="008E3C21" w:rsidP="008E3C21">
      <w:pPr>
        <w:spacing w:after="0" w:line="240" w:lineRule="auto"/>
        <w:rPr>
          <w:rFonts w:ascii="Times New Roman" w:hAnsi="Times New Roman"/>
          <w:b/>
          <w:sz w:val="24"/>
          <w:szCs w:val="24"/>
        </w:rPr>
      </w:pPr>
    </w:p>
    <w:p w14:paraId="4A87CDD5" w14:textId="77777777" w:rsidR="008E3C21" w:rsidRDefault="008E3C21" w:rsidP="008E3C21">
      <w:pPr>
        <w:spacing w:after="0" w:line="240" w:lineRule="auto"/>
        <w:rPr>
          <w:rFonts w:ascii="Times New Roman" w:hAnsi="Times New Roman"/>
          <w:b/>
          <w:sz w:val="24"/>
          <w:szCs w:val="24"/>
        </w:rPr>
      </w:pPr>
    </w:p>
    <w:p w14:paraId="56F03AB2" w14:textId="77777777" w:rsidR="008E3C21" w:rsidRDefault="008E3C21" w:rsidP="008E3C21">
      <w:pPr>
        <w:spacing w:after="0" w:line="240" w:lineRule="auto"/>
        <w:rPr>
          <w:rFonts w:ascii="Times New Roman" w:hAnsi="Times New Roman"/>
          <w:b/>
          <w:sz w:val="24"/>
          <w:szCs w:val="24"/>
        </w:rPr>
      </w:pPr>
    </w:p>
    <w:p w14:paraId="5908A218" w14:textId="77777777" w:rsidR="008E3C21" w:rsidRDefault="008E3C21" w:rsidP="008E3C21">
      <w:pPr>
        <w:spacing w:after="0" w:line="240" w:lineRule="auto"/>
        <w:rPr>
          <w:rFonts w:ascii="Times New Roman" w:hAnsi="Times New Roman"/>
          <w:b/>
          <w:sz w:val="24"/>
          <w:szCs w:val="24"/>
        </w:rPr>
      </w:pPr>
    </w:p>
    <w:p w14:paraId="3B3F4DFB" w14:textId="77777777" w:rsidR="008E3C21" w:rsidRDefault="008E3C21" w:rsidP="008E3C21">
      <w:pPr>
        <w:spacing w:after="0" w:line="240" w:lineRule="auto"/>
        <w:rPr>
          <w:rFonts w:ascii="Times New Roman" w:hAnsi="Times New Roman"/>
          <w:b/>
          <w:sz w:val="24"/>
          <w:szCs w:val="24"/>
        </w:rPr>
      </w:pPr>
    </w:p>
    <w:p w14:paraId="069F792B" w14:textId="77777777" w:rsidR="008E3C21" w:rsidRDefault="008E3C21" w:rsidP="008E3C21">
      <w:pPr>
        <w:spacing w:after="0" w:line="240" w:lineRule="auto"/>
        <w:rPr>
          <w:rFonts w:ascii="Times New Roman" w:hAnsi="Times New Roman"/>
          <w:b/>
          <w:sz w:val="24"/>
          <w:szCs w:val="24"/>
        </w:rPr>
      </w:pPr>
    </w:p>
    <w:p w14:paraId="2EF81813" w14:textId="77777777" w:rsidR="008E3C21" w:rsidRDefault="008E3C21" w:rsidP="008E3C21">
      <w:pPr>
        <w:spacing w:after="0" w:line="240" w:lineRule="auto"/>
        <w:rPr>
          <w:rFonts w:ascii="Times New Roman" w:hAnsi="Times New Roman"/>
          <w:b/>
          <w:sz w:val="24"/>
          <w:szCs w:val="24"/>
        </w:rPr>
      </w:pPr>
    </w:p>
    <w:p w14:paraId="7EC0663E" w14:textId="77777777" w:rsidR="008E3C21" w:rsidRDefault="008E3C21" w:rsidP="008E3C21">
      <w:pPr>
        <w:spacing w:after="0" w:line="240" w:lineRule="auto"/>
        <w:rPr>
          <w:rFonts w:ascii="Times New Roman" w:hAnsi="Times New Roman"/>
          <w:b/>
          <w:sz w:val="24"/>
          <w:szCs w:val="24"/>
        </w:rPr>
      </w:pPr>
    </w:p>
    <w:p w14:paraId="361F5475" w14:textId="77777777" w:rsidR="008E3C21" w:rsidRDefault="008E3C21" w:rsidP="008E3C21">
      <w:pPr>
        <w:spacing w:after="0" w:line="240" w:lineRule="auto"/>
        <w:rPr>
          <w:rFonts w:ascii="Times New Roman" w:hAnsi="Times New Roman"/>
          <w:b/>
          <w:sz w:val="24"/>
          <w:szCs w:val="24"/>
        </w:rPr>
      </w:pPr>
    </w:p>
    <w:p w14:paraId="6AF7D0C3" w14:textId="77777777" w:rsidR="008E3C21" w:rsidRDefault="008E3C21" w:rsidP="008E3C21">
      <w:pPr>
        <w:spacing w:after="0" w:line="240" w:lineRule="auto"/>
        <w:rPr>
          <w:rFonts w:ascii="Times New Roman" w:hAnsi="Times New Roman"/>
          <w:b/>
          <w:sz w:val="24"/>
          <w:szCs w:val="24"/>
        </w:rPr>
      </w:pPr>
    </w:p>
    <w:p w14:paraId="4010B4E3" w14:textId="77777777" w:rsidR="008E3C21" w:rsidRDefault="008E3C21" w:rsidP="008E3C21">
      <w:pPr>
        <w:spacing w:after="0" w:line="240" w:lineRule="auto"/>
        <w:rPr>
          <w:rFonts w:ascii="Times New Roman" w:hAnsi="Times New Roman"/>
          <w:b/>
          <w:sz w:val="24"/>
          <w:szCs w:val="24"/>
        </w:rPr>
      </w:pPr>
    </w:p>
    <w:p w14:paraId="5BF83F9B" w14:textId="77777777" w:rsidR="008E3C21" w:rsidRDefault="008E3C21" w:rsidP="008E3C21">
      <w:pPr>
        <w:spacing w:after="0" w:line="240" w:lineRule="auto"/>
        <w:rPr>
          <w:rFonts w:ascii="Times New Roman" w:hAnsi="Times New Roman"/>
          <w:b/>
          <w:sz w:val="24"/>
          <w:szCs w:val="24"/>
        </w:rPr>
      </w:pPr>
    </w:p>
    <w:p w14:paraId="5DAD00A9" w14:textId="77777777" w:rsidR="008E3C21" w:rsidRDefault="008E3C21" w:rsidP="008E3C21">
      <w:pPr>
        <w:spacing w:after="0" w:line="240" w:lineRule="auto"/>
        <w:rPr>
          <w:rFonts w:ascii="Times New Roman" w:hAnsi="Times New Roman"/>
          <w:b/>
          <w:sz w:val="24"/>
          <w:szCs w:val="24"/>
        </w:rPr>
      </w:pPr>
    </w:p>
    <w:p w14:paraId="50FF4E0D" w14:textId="77777777" w:rsidR="008E3C21" w:rsidRDefault="008E3C21" w:rsidP="008E3C21">
      <w:pPr>
        <w:spacing w:after="0" w:line="240" w:lineRule="auto"/>
        <w:rPr>
          <w:rFonts w:ascii="Times New Roman" w:hAnsi="Times New Roman"/>
          <w:b/>
          <w:sz w:val="24"/>
          <w:szCs w:val="24"/>
        </w:rPr>
      </w:pPr>
    </w:p>
    <w:p w14:paraId="6D622FD2" w14:textId="77777777" w:rsidR="008E3C21" w:rsidRDefault="008E3C21" w:rsidP="008E3C21">
      <w:pPr>
        <w:spacing w:after="0" w:line="240" w:lineRule="auto"/>
        <w:rPr>
          <w:rFonts w:ascii="Times New Roman" w:hAnsi="Times New Roman"/>
          <w:b/>
          <w:sz w:val="24"/>
          <w:szCs w:val="24"/>
        </w:rPr>
      </w:pPr>
      <w:r w:rsidRPr="00EC6525">
        <w:rPr>
          <w:rFonts w:ascii="Times New Roman" w:hAnsi="Times New Roman"/>
          <w:b/>
          <w:sz w:val="24"/>
          <w:szCs w:val="24"/>
        </w:rPr>
        <w:t xml:space="preserve">Figure </w:t>
      </w:r>
      <w:r>
        <w:rPr>
          <w:rFonts w:ascii="Times New Roman" w:hAnsi="Times New Roman"/>
          <w:b/>
          <w:sz w:val="24"/>
          <w:szCs w:val="24"/>
        </w:rPr>
        <w:t>E.</w:t>
      </w:r>
      <w:r w:rsidRPr="00EC6525">
        <w:rPr>
          <w:rFonts w:ascii="Times New Roman" w:hAnsi="Times New Roman"/>
          <w:b/>
          <w:sz w:val="24"/>
          <w:szCs w:val="24"/>
        </w:rPr>
        <w:t xml:space="preserve">1. </w:t>
      </w:r>
    </w:p>
    <w:p w14:paraId="6AD18917" w14:textId="77777777" w:rsidR="008E3C21" w:rsidRPr="00EC6525" w:rsidRDefault="008E3C21" w:rsidP="008E3C21">
      <w:pPr>
        <w:spacing w:after="0" w:line="240" w:lineRule="auto"/>
        <w:rPr>
          <w:rFonts w:ascii="Times New Roman" w:hAnsi="Times New Roman"/>
          <w:b/>
          <w:sz w:val="24"/>
          <w:szCs w:val="24"/>
        </w:rPr>
      </w:pPr>
      <w:r w:rsidRPr="00EC6525">
        <w:rPr>
          <w:rFonts w:ascii="Times New Roman" w:hAnsi="Times New Roman"/>
          <w:b/>
          <w:sz w:val="24"/>
          <w:szCs w:val="24"/>
        </w:rPr>
        <w:t xml:space="preserve">Proportion of papers with CUNI staff as a first or/and last author, by journal </w:t>
      </w:r>
      <w:r>
        <w:rPr>
          <w:rFonts w:ascii="Times New Roman" w:hAnsi="Times New Roman"/>
          <w:b/>
          <w:sz w:val="24"/>
          <w:szCs w:val="24"/>
        </w:rPr>
        <w:t xml:space="preserve">impact </w:t>
      </w:r>
      <w:r w:rsidRPr="00EC6525">
        <w:rPr>
          <w:rFonts w:ascii="Times New Roman" w:hAnsi="Times New Roman"/>
          <w:b/>
          <w:sz w:val="24"/>
          <w:szCs w:val="24"/>
        </w:rPr>
        <w:t>category.</w:t>
      </w:r>
    </w:p>
    <w:p w14:paraId="038536AA" w14:textId="77777777" w:rsidR="008E3C21" w:rsidRPr="00EC6525" w:rsidRDefault="008E3C21" w:rsidP="008E3C21">
      <w:pPr>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14:anchorId="17BD195D" wp14:editId="4C82C0CD">
            <wp:extent cx="5120640" cy="3749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0640" cy="3749040"/>
                    </a:xfrm>
                    <a:prstGeom prst="rect">
                      <a:avLst/>
                    </a:prstGeom>
                    <a:noFill/>
                    <a:ln>
                      <a:noFill/>
                    </a:ln>
                  </pic:spPr>
                </pic:pic>
              </a:graphicData>
            </a:graphic>
          </wp:inline>
        </w:drawing>
      </w:r>
    </w:p>
    <w:p w14:paraId="288EBC40" w14:textId="77777777" w:rsidR="008E3C21" w:rsidRPr="00EC6525" w:rsidRDefault="008E3C21" w:rsidP="008E3C21">
      <w:pPr>
        <w:rPr>
          <w:rFonts w:ascii="Times New Roman" w:hAnsi="Times New Roman"/>
          <w:b/>
          <w:sz w:val="24"/>
          <w:szCs w:val="24"/>
        </w:rPr>
      </w:pPr>
    </w:p>
    <w:p w14:paraId="06D8A856" w14:textId="77777777" w:rsidR="008E3C21" w:rsidRDefault="008E3C21" w:rsidP="008E3C21">
      <w:pPr>
        <w:spacing w:after="0" w:line="360" w:lineRule="auto"/>
        <w:rPr>
          <w:rFonts w:ascii="Times New Roman" w:hAnsi="Times New Roman"/>
          <w:sz w:val="24"/>
          <w:szCs w:val="24"/>
        </w:rPr>
      </w:pPr>
      <w:r w:rsidRPr="00EC6525">
        <w:rPr>
          <w:rFonts w:ascii="Times New Roman" w:hAnsi="Times New Roman"/>
          <w:sz w:val="24"/>
          <w:szCs w:val="24"/>
        </w:rPr>
        <w:t xml:space="preserve">There were some differences between faculties (Figure </w:t>
      </w:r>
      <w:r>
        <w:rPr>
          <w:rFonts w:ascii="Times New Roman" w:hAnsi="Times New Roman"/>
          <w:sz w:val="24"/>
          <w:szCs w:val="24"/>
        </w:rPr>
        <w:t>E.</w:t>
      </w:r>
      <w:r w:rsidRPr="00EC6525">
        <w:rPr>
          <w:rFonts w:ascii="Times New Roman" w:hAnsi="Times New Roman"/>
          <w:sz w:val="24"/>
          <w:szCs w:val="24"/>
        </w:rPr>
        <w:t xml:space="preserve">2). The proportions of authors listed as first or/and last </w:t>
      </w:r>
      <w:r>
        <w:rPr>
          <w:rFonts w:ascii="Times New Roman" w:hAnsi="Times New Roman"/>
          <w:sz w:val="24"/>
          <w:szCs w:val="24"/>
        </w:rPr>
        <w:t xml:space="preserve">authors in higher impact journal </w:t>
      </w:r>
      <w:r w:rsidRPr="00EC6525">
        <w:rPr>
          <w:rFonts w:ascii="Times New Roman" w:hAnsi="Times New Roman"/>
          <w:sz w:val="24"/>
          <w:szCs w:val="24"/>
        </w:rPr>
        <w:t>were smaller for LF1 and LF2</w:t>
      </w:r>
      <w:r>
        <w:rPr>
          <w:rFonts w:ascii="Times New Roman" w:hAnsi="Times New Roman"/>
          <w:sz w:val="24"/>
          <w:szCs w:val="24"/>
        </w:rPr>
        <w:t xml:space="preserve"> and very high for FaF HK. </w:t>
      </w:r>
      <w:r w:rsidRPr="00EC6525">
        <w:rPr>
          <w:rFonts w:ascii="Times New Roman" w:hAnsi="Times New Roman"/>
          <w:sz w:val="24"/>
          <w:szCs w:val="24"/>
        </w:rPr>
        <w:t xml:space="preserve">Although we need to keep in mind that the absolute numbers of papers were smaller for the other faculties, they seemed to have higher proportion of first/senior authors in high quality journals, </w:t>
      </w:r>
      <w:r>
        <w:rPr>
          <w:rFonts w:ascii="Times New Roman" w:hAnsi="Times New Roman"/>
          <w:sz w:val="24"/>
          <w:szCs w:val="24"/>
        </w:rPr>
        <w:t xml:space="preserve">paarticulalry FaF HK. This may </w:t>
      </w:r>
      <w:r w:rsidRPr="00EC6525">
        <w:rPr>
          <w:rFonts w:ascii="Times New Roman" w:hAnsi="Times New Roman"/>
          <w:sz w:val="24"/>
          <w:szCs w:val="24"/>
        </w:rPr>
        <w:t xml:space="preserve">potentially suggest that </w:t>
      </w:r>
      <w:r>
        <w:rPr>
          <w:rFonts w:ascii="Times New Roman" w:hAnsi="Times New Roman"/>
          <w:sz w:val="24"/>
          <w:szCs w:val="24"/>
        </w:rPr>
        <w:t xml:space="preserve">some of these other faculties </w:t>
      </w:r>
      <w:r w:rsidRPr="00EC6525">
        <w:rPr>
          <w:rFonts w:ascii="Times New Roman" w:hAnsi="Times New Roman"/>
          <w:sz w:val="24"/>
          <w:szCs w:val="24"/>
        </w:rPr>
        <w:t xml:space="preserve">either publish more high impact papers without extensive collaborations or they may play a more significant roles in international scientific collaborations. </w:t>
      </w:r>
    </w:p>
    <w:p w14:paraId="40BEB0DA" w14:textId="77777777" w:rsidR="008E3C21" w:rsidRPr="00EC6525" w:rsidRDefault="008E3C21" w:rsidP="008E3C21">
      <w:pPr>
        <w:spacing w:after="0" w:line="360" w:lineRule="auto"/>
        <w:rPr>
          <w:rFonts w:ascii="Times New Roman" w:hAnsi="Times New Roman"/>
          <w:sz w:val="24"/>
          <w:szCs w:val="24"/>
        </w:rPr>
      </w:pPr>
    </w:p>
    <w:p w14:paraId="6E936B37" w14:textId="77777777" w:rsidR="008E3C21" w:rsidRDefault="008E3C21" w:rsidP="008E3C21">
      <w:pPr>
        <w:rPr>
          <w:rFonts w:ascii="Times New Roman" w:hAnsi="Times New Roman"/>
          <w:b/>
          <w:sz w:val="24"/>
          <w:szCs w:val="24"/>
        </w:rPr>
      </w:pPr>
      <w:r w:rsidRPr="00EC6525">
        <w:rPr>
          <w:rFonts w:ascii="Times New Roman" w:hAnsi="Times New Roman"/>
          <w:b/>
          <w:sz w:val="24"/>
          <w:szCs w:val="24"/>
        </w:rPr>
        <w:lastRenderedPageBreak/>
        <w:t xml:space="preserve">Figure </w:t>
      </w:r>
      <w:r>
        <w:rPr>
          <w:rFonts w:ascii="Times New Roman" w:hAnsi="Times New Roman"/>
          <w:b/>
          <w:sz w:val="24"/>
          <w:szCs w:val="24"/>
        </w:rPr>
        <w:t>E.</w:t>
      </w:r>
      <w:r w:rsidRPr="00EC6525">
        <w:rPr>
          <w:rFonts w:ascii="Times New Roman" w:hAnsi="Times New Roman"/>
          <w:b/>
          <w:sz w:val="24"/>
          <w:szCs w:val="24"/>
        </w:rPr>
        <w:t xml:space="preserve">2. </w:t>
      </w:r>
    </w:p>
    <w:p w14:paraId="28851CE3" w14:textId="77777777" w:rsidR="008E3C21" w:rsidRDefault="008E3C21" w:rsidP="008E3C21">
      <w:pPr>
        <w:rPr>
          <w:rFonts w:ascii="Times New Roman" w:hAnsi="Times New Roman"/>
          <w:noProof/>
          <w:sz w:val="24"/>
          <w:szCs w:val="24"/>
          <w:lang w:val="en-US"/>
        </w:rPr>
      </w:pPr>
      <w:r w:rsidRPr="00EC6525">
        <w:rPr>
          <w:rFonts w:ascii="Times New Roman" w:hAnsi="Times New Roman"/>
          <w:b/>
          <w:sz w:val="24"/>
          <w:szCs w:val="24"/>
        </w:rPr>
        <w:t>Proportion of papers with CUNI staff as a first or/and last author, by journal category and by faculty (1=LF1, 2=LF2, 3=LF3, 4=LJHK, 5=LFPL</w:t>
      </w:r>
      <w:r>
        <w:rPr>
          <w:rFonts w:ascii="Times New Roman" w:hAnsi="Times New Roman"/>
          <w:b/>
          <w:sz w:val="24"/>
          <w:szCs w:val="24"/>
        </w:rPr>
        <w:t>, 6=FaF HK</w:t>
      </w:r>
      <w:r w:rsidRPr="00EC6525">
        <w:rPr>
          <w:rFonts w:ascii="Times New Roman" w:hAnsi="Times New Roman"/>
          <w:b/>
          <w:sz w:val="24"/>
          <w:szCs w:val="24"/>
        </w:rPr>
        <w:t>)</w:t>
      </w:r>
    </w:p>
    <w:p w14:paraId="15B1E657" w14:textId="77777777" w:rsidR="008E3C21" w:rsidRPr="00EC6525" w:rsidRDefault="008E3C21" w:rsidP="008E3C21">
      <w:pPr>
        <w:rPr>
          <w:rFonts w:ascii="Times New Roman" w:hAnsi="Times New Roman"/>
          <w:sz w:val="24"/>
          <w:szCs w:val="24"/>
        </w:rPr>
      </w:pPr>
      <w:r>
        <w:rPr>
          <w:rFonts w:ascii="Times New Roman" w:hAnsi="Times New Roman"/>
          <w:noProof/>
          <w:sz w:val="24"/>
          <w:szCs w:val="24"/>
          <w:lang w:eastAsia="cs-CZ"/>
        </w:rPr>
        <w:drawing>
          <wp:inline distT="0" distB="0" distL="0" distR="0" wp14:anchorId="4F2B6545" wp14:editId="4ED8D804">
            <wp:extent cx="4229100" cy="309630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9100" cy="3096305"/>
                    </a:xfrm>
                    <a:prstGeom prst="rect">
                      <a:avLst/>
                    </a:prstGeom>
                    <a:noFill/>
                    <a:ln>
                      <a:noFill/>
                    </a:ln>
                  </pic:spPr>
                </pic:pic>
              </a:graphicData>
            </a:graphic>
          </wp:inline>
        </w:drawing>
      </w:r>
    </w:p>
    <w:p w14:paraId="64DE6215" w14:textId="77777777" w:rsidR="008E3C21" w:rsidRPr="00EC6525" w:rsidRDefault="008E3C21" w:rsidP="008E3C21">
      <w:pPr>
        <w:rPr>
          <w:rFonts w:ascii="Times New Roman" w:hAnsi="Times New Roman"/>
          <w:sz w:val="24"/>
          <w:szCs w:val="24"/>
        </w:rPr>
      </w:pPr>
    </w:p>
    <w:p w14:paraId="4265AE99"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 xml:space="preserve">In addition to these activities, most assessment units report student / junior researchers stay in foreign institutions. While this is a good practice, it is difficult to judge the quality or contributions of such study stays. There are also examples of visiting professors and international postdocs. </w:t>
      </w:r>
    </w:p>
    <w:p w14:paraId="51E7FDCC" w14:textId="77777777" w:rsidR="008E3C21" w:rsidRPr="00EC6525" w:rsidRDefault="008E3C21" w:rsidP="008E3C21">
      <w:pPr>
        <w:rPr>
          <w:rFonts w:ascii="Times New Roman" w:hAnsi="Times New Roman"/>
          <w:sz w:val="24"/>
          <w:szCs w:val="24"/>
        </w:rPr>
      </w:pPr>
    </w:p>
    <w:p w14:paraId="4C004942" w14:textId="77777777" w:rsidR="008E3C21" w:rsidRPr="00EC6525" w:rsidRDefault="008E3C21" w:rsidP="008E3C21">
      <w:pPr>
        <w:rPr>
          <w:rFonts w:ascii="Times New Roman" w:hAnsi="Times New Roman"/>
          <w:sz w:val="24"/>
          <w:szCs w:val="24"/>
        </w:rPr>
      </w:pPr>
    </w:p>
    <w:p w14:paraId="42075420" w14:textId="77777777" w:rsidR="008E3C21" w:rsidRPr="006A364F" w:rsidRDefault="008E3C21" w:rsidP="008E3C21">
      <w:pPr>
        <w:spacing w:after="0" w:line="360" w:lineRule="auto"/>
        <w:jc w:val="both"/>
        <w:rPr>
          <w:rFonts w:ascii="Times New Roman" w:hAnsi="Times New Roman"/>
          <w:bCs/>
          <w:sz w:val="24"/>
          <w:szCs w:val="24"/>
        </w:rPr>
      </w:pPr>
      <w:r>
        <w:rPr>
          <w:rFonts w:ascii="Times New Roman" w:hAnsi="Times New Roman"/>
          <w:b/>
          <w:bCs/>
          <w:sz w:val="24"/>
          <w:szCs w:val="24"/>
        </w:rPr>
        <w:lastRenderedPageBreak/>
        <w:t>I</w:t>
      </w:r>
      <w:r w:rsidRPr="006A364F">
        <w:rPr>
          <w:rFonts w:ascii="Times New Roman" w:hAnsi="Times New Roman"/>
          <w:b/>
          <w:bCs/>
          <w:sz w:val="24"/>
          <w:szCs w:val="24"/>
        </w:rPr>
        <w:t>nternational</w:t>
      </w:r>
      <w:r>
        <w:rPr>
          <w:rFonts w:ascii="Times New Roman" w:hAnsi="Times New Roman"/>
          <w:b/>
          <w:bCs/>
          <w:sz w:val="24"/>
          <w:szCs w:val="24"/>
        </w:rPr>
        <w:t xml:space="preserve"> competitive research</w:t>
      </w:r>
      <w:r w:rsidRPr="006A364F">
        <w:rPr>
          <w:rFonts w:ascii="Times New Roman" w:hAnsi="Times New Roman"/>
          <w:b/>
          <w:bCs/>
          <w:sz w:val="24"/>
          <w:szCs w:val="24"/>
        </w:rPr>
        <w:t xml:space="preserve"> grants/awards</w:t>
      </w:r>
    </w:p>
    <w:p w14:paraId="2E331FBA" w14:textId="02C9379D" w:rsidR="008E3C21" w:rsidRPr="00EC6525" w:rsidRDefault="008E3C21" w:rsidP="008E3C21">
      <w:pPr>
        <w:spacing w:line="360" w:lineRule="auto"/>
        <w:rPr>
          <w:rFonts w:ascii="Times New Roman" w:hAnsi="Times New Roman"/>
          <w:sz w:val="24"/>
          <w:szCs w:val="24"/>
        </w:rPr>
      </w:pPr>
      <w:r w:rsidRPr="00EC6525">
        <w:rPr>
          <w:rFonts w:ascii="Times New Roman" w:hAnsi="Times New Roman"/>
          <w:bCs/>
          <w:sz w:val="24"/>
          <w:szCs w:val="24"/>
        </w:rPr>
        <w:t xml:space="preserve">Overall, the numbers of international grants were small (48 in total across all units of assessment). Assuming that </w:t>
      </w:r>
      <w:r>
        <w:rPr>
          <w:rFonts w:ascii="Times New Roman" w:hAnsi="Times New Roman"/>
          <w:bCs/>
          <w:sz w:val="24"/>
          <w:szCs w:val="24"/>
        </w:rPr>
        <w:t xml:space="preserve">we </w:t>
      </w:r>
      <w:r w:rsidRPr="00EC6525">
        <w:rPr>
          <w:rFonts w:ascii="Times New Roman" w:hAnsi="Times New Roman"/>
          <w:bCs/>
          <w:sz w:val="24"/>
          <w:szCs w:val="24"/>
        </w:rPr>
        <w:t xml:space="preserve">understood the figures correctly, the total income </w:t>
      </w:r>
      <w:r>
        <w:rPr>
          <w:rFonts w:ascii="Times New Roman" w:hAnsi="Times New Roman"/>
          <w:bCs/>
          <w:sz w:val="24"/>
          <w:szCs w:val="24"/>
        </w:rPr>
        <w:t xml:space="preserve">from international competitive research grants </w:t>
      </w:r>
      <w:r w:rsidRPr="00EC6525">
        <w:rPr>
          <w:rFonts w:ascii="Times New Roman" w:hAnsi="Times New Roman"/>
          <w:bCs/>
          <w:sz w:val="24"/>
          <w:szCs w:val="24"/>
        </w:rPr>
        <w:t xml:space="preserve">over the reporting period was 2.78M Euro. This is rather </w:t>
      </w:r>
      <w:r w:rsidR="0015014C">
        <w:rPr>
          <w:rFonts w:ascii="Times New Roman" w:hAnsi="Times New Roman"/>
          <w:bCs/>
          <w:sz w:val="24"/>
          <w:szCs w:val="24"/>
        </w:rPr>
        <w:t>small</w:t>
      </w:r>
      <w:r w:rsidR="0015014C" w:rsidRPr="00EC6525">
        <w:rPr>
          <w:rFonts w:ascii="Times New Roman" w:hAnsi="Times New Roman"/>
          <w:bCs/>
          <w:sz w:val="24"/>
          <w:szCs w:val="24"/>
        </w:rPr>
        <w:t xml:space="preserve"> </w:t>
      </w:r>
      <w:r w:rsidRPr="00EC6525">
        <w:rPr>
          <w:rFonts w:ascii="Times New Roman" w:hAnsi="Times New Roman"/>
          <w:bCs/>
          <w:sz w:val="24"/>
          <w:szCs w:val="24"/>
        </w:rPr>
        <w:t xml:space="preserve">for a university of the size </w:t>
      </w:r>
      <w:r>
        <w:rPr>
          <w:rFonts w:ascii="Times New Roman" w:hAnsi="Times New Roman"/>
          <w:bCs/>
          <w:sz w:val="24"/>
          <w:szCs w:val="24"/>
        </w:rPr>
        <w:t xml:space="preserve">and ambition </w:t>
      </w:r>
      <w:r w:rsidRPr="00EC6525">
        <w:rPr>
          <w:rFonts w:ascii="Times New Roman" w:hAnsi="Times New Roman"/>
          <w:bCs/>
          <w:sz w:val="24"/>
          <w:szCs w:val="24"/>
        </w:rPr>
        <w:t>of CUNI. There were large differences between faculties –</w:t>
      </w:r>
      <w:r>
        <w:rPr>
          <w:rFonts w:ascii="Times New Roman" w:hAnsi="Times New Roman"/>
          <w:bCs/>
          <w:sz w:val="24"/>
          <w:szCs w:val="24"/>
        </w:rPr>
        <w:t xml:space="preserve"> 1.LF</w:t>
      </w:r>
      <w:r w:rsidRPr="00EC6525">
        <w:rPr>
          <w:rFonts w:ascii="Times New Roman" w:hAnsi="Times New Roman"/>
          <w:bCs/>
          <w:sz w:val="24"/>
          <w:szCs w:val="24"/>
        </w:rPr>
        <w:t xml:space="preserve"> for more than half of all international </w:t>
      </w:r>
      <w:r>
        <w:rPr>
          <w:rFonts w:ascii="Times New Roman" w:hAnsi="Times New Roman"/>
          <w:bCs/>
          <w:sz w:val="24"/>
          <w:szCs w:val="24"/>
        </w:rPr>
        <w:t xml:space="preserve">research </w:t>
      </w:r>
      <w:r w:rsidRPr="00EC6525">
        <w:rPr>
          <w:rFonts w:ascii="Times New Roman" w:hAnsi="Times New Roman"/>
          <w:bCs/>
          <w:sz w:val="24"/>
          <w:szCs w:val="24"/>
        </w:rPr>
        <w:t xml:space="preserve">grants (see table below). </w:t>
      </w:r>
      <w:r>
        <w:rPr>
          <w:rFonts w:ascii="Times New Roman" w:hAnsi="Times New Roman"/>
          <w:sz w:val="24"/>
          <w:szCs w:val="24"/>
        </w:rPr>
        <w:t xml:space="preserve">In addition, FaF HK received 15M Euro from 5 Research, Innovation and Education Operational Programmes from the Czech Ministry of Education; the funded by the European Regional Development Fund but these awards are for infrastructure rather than for research itself and they are not internationally competitive. </w:t>
      </w:r>
    </w:p>
    <w:p w14:paraId="7A54DCB6" w14:textId="77777777" w:rsidR="008E3C21" w:rsidRPr="00EC6525" w:rsidRDefault="008E3C21" w:rsidP="008E3C21">
      <w:pPr>
        <w:spacing w:after="0" w:line="360" w:lineRule="auto"/>
        <w:jc w:val="both"/>
        <w:rPr>
          <w:rFonts w:ascii="Times New Roman" w:hAnsi="Times New Roman"/>
          <w:bCs/>
          <w:sz w:val="24"/>
          <w:szCs w:val="24"/>
        </w:rPr>
      </w:pPr>
    </w:p>
    <w:p w14:paraId="24A43086"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LF1: About 29 international projects, 11 of them from FP7/H2020, all of them as partners (none as PI), total income 2.2M euro. </w:t>
      </w:r>
    </w:p>
    <w:p w14:paraId="49E648A4"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LF2: 7 international projects, most of them EU institutions, 2 of them H2020, no project as PI, total income 0.25M euro. </w:t>
      </w:r>
      <w:r>
        <w:rPr>
          <w:rFonts w:ascii="Times New Roman" w:hAnsi="Times New Roman"/>
          <w:bCs/>
          <w:sz w:val="24"/>
          <w:szCs w:val="24"/>
        </w:rPr>
        <w:t>There was s</w:t>
      </w:r>
      <w:r w:rsidRPr="00EC6525">
        <w:rPr>
          <w:rFonts w:ascii="Times New Roman" w:hAnsi="Times New Roman"/>
          <w:bCs/>
          <w:sz w:val="24"/>
          <w:szCs w:val="24"/>
        </w:rPr>
        <w:t xml:space="preserve">ome contracted research for foreign agents. </w:t>
      </w:r>
    </w:p>
    <w:p w14:paraId="227D8BC1"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LF3: 4 international projects, all FP7 or H2020, total income 0.23M Euro, none as PI. </w:t>
      </w:r>
    </w:p>
    <w:p w14:paraId="45672C3A"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LFHK: 3 international project, one of them FP7, total income 0.04 M euro, one project as PI. </w:t>
      </w:r>
    </w:p>
    <w:p w14:paraId="221880FE" w14:textId="77777777" w:rsidR="008E3C21" w:rsidRPr="00EC6525" w:rsidRDefault="008E3C21" w:rsidP="008E3C21">
      <w:pPr>
        <w:spacing w:after="0" w:line="360" w:lineRule="auto"/>
        <w:jc w:val="both"/>
        <w:rPr>
          <w:rFonts w:ascii="Times New Roman" w:hAnsi="Times New Roman"/>
          <w:bCs/>
          <w:sz w:val="24"/>
          <w:szCs w:val="24"/>
        </w:rPr>
      </w:pPr>
      <w:r>
        <w:rPr>
          <w:rFonts w:ascii="Times New Roman" w:hAnsi="Times New Roman"/>
          <w:bCs/>
          <w:sz w:val="24"/>
          <w:szCs w:val="24"/>
        </w:rPr>
        <w:t>FaF</w:t>
      </w:r>
      <w:r w:rsidRPr="00EC6525">
        <w:rPr>
          <w:rFonts w:ascii="Times New Roman" w:hAnsi="Times New Roman"/>
          <w:bCs/>
          <w:sz w:val="24"/>
          <w:szCs w:val="24"/>
        </w:rPr>
        <w:t xml:space="preserve"> HK: 3 international projects, 2 from FP7, none as PI, total income 0.02M euro.</w:t>
      </w:r>
      <w:r>
        <w:rPr>
          <w:rFonts w:ascii="Times New Roman" w:hAnsi="Times New Roman"/>
          <w:bCs/>
          <w:sz w:val="24"/>
          <w:szCs w:val="24"/>
        </w:rPr>
        <w:t xml:space="preserve"> (In addition, </w:t>
      </w:r>
      <w:r>
        <w:rPr>
          <w:rFonts w:ascii="Times New Roman" w:hAnsi="Times New Roman"/>
          <w:sz w:val="24"/>
          <w:szCs w:val="24"/>
        </w:rPr>
        <w:t>FaF HK received 15M Euro from five Research, Innovation and Education Operational Programmes from the Czech Ministry of Education; the funded by the European Regional Development Fund)</w:t>
      </w:r>
    </w:p>
    <w:p w14:paraId="21195489" w14:textId="77777777" w:rsidR="008E3C21" w:rsidRPr="00EC6525" w:rsidRDefault="008E3C21" w:rsidP="008E3C21">
      <w:pPr>
        <w:spacing w:after="0" w:line="360" w:lineRule="auto"/>
        <w:jc w:val="both"/>
        <w:rPr>
          <w:rFonts w:ascii="Times New Roman" w:hAnsi="Times New Roman"/>
          <w:bCs/>
          <w:sz w:val="24"/>
          <w:szCs w:val="24"/>
        </w:rPr>
      </w:pPr>
      <w:r w:rsidRPr="00EC6525">
        <w:rPr>
          <w:rFonts w:ascii="Times New Roman" w:hAnsi="Times New Roman"/>
          <w:bCs/>
          <w:sz w:val="24"/>
          <w:szCs w:val="24"/>
        </w:rPr>
        <w:t>Pilsen: no major international award. Participates in HBM4U project (invited by the Czech PI), negligible income.</w:t>
      </w:r>
    </w:p>
    <w:p w14:paraId="63CCD173" w14:textId="77777777" w:rsidR="008E3C21" w:rsidRPr="00EC6525" w:rsidRDefault="008E3C21" w:rsidP="008E3C21">
      <w:pPr>
        <w:rPr>
          <w:rFonts w:ascii="Times New Roman" w:hAnsi="Times New Roman"/>
          <w:sz w:val="24"/>
          <w:szCs w:val="24"/>
        </w:rPr>
      </w:pPr>
    </w:p>
    <w:p w14:paraId="438C2622"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 xml:space="preserve">Table: International </w:t>
      </w:r>
      <w:r>
        <w:rPr>
          <w:rFonts w:ascii="Times New Roman" w:hAnsi="Times New Roman"/>
          <w:b/>
          <w:sz w:val="24"/>
          <w:szCs w:val="24"/>
        </w:rPr>
        <w:t xml:space="preserve">competitive research </w:t>
      </w:r>
      <w:r w:rsidRPr="00EC6525">
        <w:rPr>
          <w:rFonts w:ascii="Times New Roman" w:hAnsi="Times New Roman"/>
          <w:b/>
          <w:sz w:val="24"/>
          <w:szCs w:val="24"/>
        </w:rPr>
        <w:t>grants by faculty during reporting period</w:t>
      </w:r>
    </w:p>
    <w:tbl>
      <w:tblPr>
        <w:tblStyle w:val="Mkatabulky"/>
        <w:tblW w:w="0" w:type="auto"/>
        <w:tblLook w:val="04A0" w:firstRow="1" w:lastRow="0" w:firstColumn="1" w:lastColumn="0" w:noHBand="0" w:noVBand="1"/>
      </w:tblPr>
      <w:tblGrid>
        <w:gridCol w:w="1384"/>
        <w:gridCol w:w="1843"/>
        <w:gridCol w:w="2410"/>
        <w:gridCol w:w="1701"/>
      </w:tblGrid>
      <w:tr w:rsidR="008E3C21" w:rsidRPr="00EC6525" w14:paraId="20B42CFC" w14:textId="77777777" w:rsidTr="008E3C21">
        <w:tc>
          <w:tcPr>
            <w:tcW w:w="1384" w:type="dxa"/>
          </w:tcPr>
          <w:p w14:paraId="729FBBC4"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Faculty</w:t>
            </w:r>
          </w:p>
        </w:tc>
        <w:tc>
          <w:tcPr>
            <w:tcW w:w="1843" w:type="dxa"/>
          </w:tcPr>
          <w:p w14:paraId="74F3511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Total number of grants</w:t>
            </w:r>
          </w:p>
        </w:tc>
        <w:tc>
          <w:tcPr>
            <w:tcW w:w="2410" w:type="dxa"/>
          </w:tcPr>
          <w:p w14:paraId="357B38E0"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Of them FP7/H2020</w:t>
            </w:r>
          </w:p>
        </w:tc>
        <w:tc>
          <w:tcPr>
            <w:tcW w:w="1701" w:type="dxa"/>
          </w:tcPr>
          <w:p w14:paraId="5341A88A"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Total value</w:t>
            </w:r>
          </w:p>
          <w:p w14:paraId="18EB94B2"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(M euro)</w:t>
            </w:r>
          </w:p>
        </w:tc>
      </w:tr>
      <w:tr w:rsidR="008E3C21" w:rsidRPr="00EC6525" w14:paraId="0246BCCC" w14:textId="77777777" w:rsidTr="008E3C21">
        <w:tc>
          <w:tcPr>
            <w:tcW w:w="1384" w:type="dxa"/>
          </w:tcPr>
          <w:p w14:paraId="3B2E7B7D"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lastRenderedPageBreak/>
              <w:t>LF1</w:t>
            </w:r>
          </w:p>
        </w:tc>
        <w:tc>
          <w:tcPr>
            <w:tcW w:w="1843" w:type="dxa"/>
          </w:tcPr>
          <w:p w14:paraId="0144503E"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29</w:t>
            </w:r>
          </w:p>
        </w:tc>
        <w:tc>
          <w:tcPr>
            <w:tcW w:w="2410" w:type="dxa"/>
          </w:tcPr>
          <w:p w14:paraId="34C7083B"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11</w:t>
            </w:r>
          </w:p>
        </w:tc>
        <w:tc>
          <w:tcPr>
            <w:tcW w:w="1701" w:type="dxa"/>
          </w:tcPr>
          <w:p w14:paraId="529391A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2.2</w:t>
            </w:r>
          </w:p>
        </w:tc>
      </w:tr>
      <w:tr w:rsidR="008E3C21" w:rsidRPr="00EC6525" w14:paraId="2C50FF37" w14:textId="77777777" w:rsidTr="008E3C21">
        <w:tc>
          <w:tcPr>
            <w:tcW w:w="1384" w:type="dxa"/>
          </w:tcPr>
          <w:p w14:paraId="6EC59E18"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LF2</w:t>
            </w:r>
          </w:p>
        </w:tc>
        <w:tc>
          <w:tcPr>
            <w:tcW w:w="1843" w:type="dxa"/>
          </w:tcPr>
          <w:p w14:paraId="2E4F039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7</w:t>
            </w:r>
          </w:p>
        </w:tc>
        <w:tc>
          <w:tcPr>
            <w:tcW w:w="2410" w:type="dxa"/>
          </w:tcPr>
          <w:p w14:paraId="2848C465"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w:t>
            </w:r>
          </w:p>
        </w:tc>
        <w:tc>
          <w:tcPr>
            <w:tcW w:w="1701" w:type="dxa"/>
          </w:tcPr>
          <w:p w14:paraId="0AA30DB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0.25</w:t>
            </w:r>
          </w:p>
        </w:tc>
      </w:tr>
      <w:tr w:rsidR="008E3C21" w:rsidRPr="00EC6525" w14:paraId="532DFD72" w14:textId="77777777" w:rsidTr="008E3C21">
        <w:tc>
          <w:tcPr>
            <w:tcW w:w="1384" w:type="dxa"/>
          </w:tcPr>
          <w:p w14:paraId="3A5BB87F"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LF3</w:t>
            </w:r>
          </w:p>
        </w:tc>
        <w:tc>
          <w:tcPr>
            <w:tcW w:w="1843" w:type="dxa"/>
          </w:tcPr>
          <w:p w14:paraId="6BC1BFF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w:t>
            </w:r>
          </w:p>
        </w:tc>
        <w:tc>
          <w:tcPr>
            <w:tcW w:w="2410" w:type="dxa"/>
          </w:tcPr>
          <w:p w14:paraId="02EE732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4</w:t>
            </w:r>
          </w:p>
        </w:tc>
        <w:tc>
          <w:tcPr>
            <w:tcW w:w="1701" w:type="dxa"/>
          </w:tcPr>
          <w:p w14:paraId="10C43B9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0.23</w:t>
            </w:r>
          </w:p>
        </w:tc>
      </w:tr>
      <w:tr w:rsidR="008E3C21" w:rsidRPr="00EC6525" w14:paraId="1BCF00D0" w14:textId="77777777" w:rsidTr="008E3C21">
        <w:tc>
          <w:tcPr>
            <w:tcW w:w="1384" w:type="dxa"/>
          </w:tcPr>
          <w:p w14:paraId="2660F21B"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 Pilsen</w:t>
            </w:r>
          </w:p>
        </w:tc>
        <w:tc>
          <w:tcPr>
            <w:tcW w:w="1843" w:type="dxa"/>
          </w:tcPr>
          <w:p w14:paraId="7034BAAA"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w:t>
            </w:r>
          </w:p>
        </w:tc>
        <w:tc>
          <w:tcPr>
            <w:tcW w:w="2410" w:type="dxa"/>
          </w:tcPr>
          <w:p w14:paraId="31EA0930"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w:t>
            </w:r>
          </w:p>
        </w:tc>
        <w:tc>
          <w:tcPr>
            <w:tcW w:w="1701" w:type="dxa"/>
          </w:tcPr>
          <w:p w14:paraId="7A6F52F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0.04</w:t>
            </w:r>
          </w:p>
        </w:tc>
      </w:tr>
      <w:tr w:rsidR="008E3C21" w:rsidRPr="00EC6525" w14:paraId="13881769" w14:textId="77777777" w:rsidTr="008E3C21">
        <w:tc>
          <w:tcPr>
            <w:tcW w:w="1384" w:type="dxa"/>
          </w:tcPr>
          <w:p w14:paraId="6F5EE3D5"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LF HK</w:t>
            </w:r>
          </w:p>
        </w:tc>
        <w:tc>
          <w:tcPr>
            <w:tcW w:w="1843" w:type="dxa"/>
          </w:tcPr>
          <w:p w14:paraId="26574C08"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w:t>
            </w:r>
          </w:p>
        </w:tc>
        <w:tc>
          <w:tcPr>
            <w:tcW w:w="2410" w:type="dxa"/>
          </w:tcPr>
          <w:p w14:paraId="7E0C86E0"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1</w:t>
            </w:r>
          </w:p>
        </w:tc>
        <w:tc>
          <w:tcPr>
            <w:tcW w:w="1701" w:type="dxa"/>
          </w:tcPr>
          <w:p w14:paraId="419F3384"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0.04</w:t>
            </w:r>
          </w:p>
        </w:tc>
      </w:tr>
      <w:tr w:rsidR="008E3C21" w:rsidRPr="00EC6525" w14:paraId="18AC2AA6" w14:textId="77777777" w:rsidTr="008E3C21">
        <w:tc>
          <w:tcPr>
            <w:tcW w:w="1384" w:type="dxa"/>
          </w:tcPr>
          <w:p w14:paraId="66F6E36B" w14:textId="77777777" w:rsidR="008E3C21" w:rsidRPr="00EC6525" w:rsidRDefault="008E3C21" w:rsidP="008E3C21">
            <w:pPr>
              <w:rPr>
                <w:rFonts w:ascii="Times New Roman" w:hAnsi="Times New Roman"/>
                <w:sz w:val="24"/>
                <w:szCs w:val="24"/>
              </w:rPr>
            </w:pPr>
            <w:r w:rsidRPr="00EC6525">
              <w:rPr>
                <w:rFonts w:ascii="Times New Roman" w:hAnsi="Times New Roman"/>
                <w:sz w:val="24"/>
                <w:szCs w:val="24"/>
              </w:rPr>
              <w:t xml:space="preserve">FaF </w:t>
            </w:r>
            <w:r>
              <w:rPr>
                <w:rFonts w:ascii="Times New Roman" w:hAnsi="Times New Roman"/>
                <w:sz w:val="24"/>
                <w:szCs w:val="24"/>
              </w:rPr>
              <w:t>HK*</w:t>
            </w:r>
          </w:p>
        </w:tc>
        <w:tc>
          <w:tcPr>
            <w:tcW w:w="1843" w:type="dxa"/>
          </w:tcPr>
          <w:p w14:paraId="287F7CA1"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3</w:t>
            </w:r>
          </w:p>
        </w:tc>
        <w:tc>
          <w:tcPr>
            <w:tcW w:w="2410" w:type="dxa"/>
          </w:tcPr>
          <w:p w14:paraId="3DDCF086"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2</w:t>
            </w:r>
          </w:p>
        </w:tc>
        <w:tc>
          <w:tcPr>
            <w:tcW w:w="1701" w:type="dxa"/>
          </w:tcPr>
          <w:p w14:paraId="60041BD2" w14:textId="77777777" w:rsidR="008E3C21" w:rsidRPr="00EC6525" w:rsidRDefault="008E3C21" w:rsidP="008E3C21">
            <w:pPr>
              <w:jc w:val="center"/>
              <w:rPr>
                <w:rFonts w:ascii="Times New Roman" w:hAnsi="Times New Roman"/>
                <w:sz w:val="24"/>
                <w:szCs w:val="24"/>
              </w:rPr>
            </w:pPr>
            <w:r w:rsidRPr="00EC6525">
              <w:rPr>
                <w:rFonts w:ascii="Times New Roman" w:hAnsi="Times New Roman"/>
                <w:sz w:val="24"/>
                <w:szCs w:val="24"/>
              </w:rPr>
              <w:t>0.02</w:t>
            </w:r>
            <w:r>
              <w:rPr>
                <w:rFonts w:ascii="Times New Roman" w:hAnsi="Times New Roman"/>
                <w:sz w:val="24"/>
                <w:szCs w:val="24"/>
              </w:rPr>
              <w:t>*</w:t>
            </w:r>
          </w:p>
        </w:tc>
      </w:tr>
      <w:tr w:rsidR="008E3C21" w:rsidRPr="00EC6525" w14:paraId="6D340DAC" w14:textId="77777777" w:rsidTr="008E3C21">
        <w:tc>
          <w:tcPr>
            <w:tcW w:w="1384" w:type="dxa"/>
          </w:tcPr>
          <w:p w14:paraId="1FECD03D" w14:textId="77777777" w:rsidR="008E3C21" w:rsidRPr="00EC6525" w:rsidRDefault="008E3C21" w:rsidP="008E3C21">
            <w:pPr>
              <w:rPr>
                <w:rFonts w:ascii="Times New Roman" w:hAnsi="Times New Roman"/>
                <w:b/>
                <w:sz w:val="24"/>
                <w:szCs w:val="24"/>
              </w:rPr>
            </w:pPr>
            <w:r w:rsidRPr="00EC6525">
              <w:rPr>
                <w:rFonts w:ascii="Times New Roman" w:hAnsi="Times New Roman"/>
                <w:b/>
                <w:sz w:val="24"/>
                <w:szCs w:val="24"/>
              </w:rPr>
              <w:t>Total</w:t>
            </w:r>
          </w:p>
        </w:tc>
        <w:tc>
          <w:tcPr>
            <w:tcW w:w="1843" w:type="dxa"/>
          </w:tcPr>
          <w:p w14:paraId="5AFD74E6"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48</w:t>
            </w:r>
          </w:p>
        </w:tc>
        <w:tc>
          <w:tcPr>
            <w:tcW w:w="2410" w:type="dxa"/>
          </w:tcPr>
          <w:p w14:paraId="487A72FF"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20</w:t>
            </w:r>
          </w:p>
        </w:tc>
        <w:tc>
          <w:tcPr>
            <w:tcW w:w="1701" w:type="dxa"/>
          </w:tcPr>
          <w:p w14:paraId="1C9A7981" w14:textId="77777777" w:rsidR="008E3C21" w:rsidRPr="00EC6525" w:rsidRDefault="008E3C21" w:rsidP="008E3C21">
            <w:pPr>
              <w:jc w:val="center"/>
              <w:rPr>
                <w:rFonts w:ascii="Times New Roman" w:hAnsi="Times New Roman"/>
                <w:b/>
                <w:sz w:val="24"/>
                <w:szCs w:val="24"/>
              </w:rPr>
            </w:pPr>
            <w:r w:rsidRPr="00EC6525">
              <w:rPr>
                <w:rFonts w:ascii="Times New Roman" w:hAnsi="Times New Roman"/>
                <w:b/>
                <w:sz w:val="24"/>
                <w:szCs w:val="24"/>
              </w:rPr>
              <w:t>2.78</w:t>
            </w:r>
          </w:p>
        </w:tc>
      </w:tr>
    </w:tbl>
    <w:p w14:paraId="00FD6817" w14:textId="77777777" w:rsidR="008E3C21" w:rsidRPr="00EC6525" w:rsidRDefault="008E3C21" w:rsidP="008E3C21">
      <w:pPr>
        <w:rPr>
          <w:rFonts w:ascii="Times New Roman" w:hAnsi="Times New Roman"/>
          <w:sz w:val="24"/>
          <w:szCs w:val="24"/>
        </w:rPr>
      </w:pPr>
      <w:r>
        <w:rPr>
          <w:rFonts w:ascii="Times New Roman" w:hAnsi="Times New Roman"/>
          <w:sz w:val="24"/>
          <w:szCs w:val="24"/>
        </w:rPr>
        <w:t xml:space="preserve">*In addition, FaF HK received 15M Euro from 5 Research, Innovation and Education Operational Programmes from the Czech Ministry of Education; the funded by the European Regional Development Fund. </w:t>
      </w:r>
    </w:p>
    <w:p w14:paraId="148EDD5A" w14:textId="77777777" w:rsidR="008E3C21" w:rsidRPr="00EC6525" w:rsidRDefault="008E3C21" w:rsidP="008E3C21">
      <w:pPr>
        <w:spacing w:after="0" w:line="360" w:lineRule="auto"/>
        <w:rPr>
          <w:rFonts w:ascii="Times New Roman" w:hAnsi="Times New Roman"/>
          <w:sz w:val="24"/>
          <w:szCs w:val="24"/>
        </w:rPr>
      </w:pPr>
    </w:p>
    <w:p w14:paraId="47CE7281" w14:textId="77777777" w:rsidR="008E3C21" w:rsidRPr="00EC6525" w:rsidRDefault="008E3C21" w:rsidP="008E3C21">
      <w:pPr>
        <w:spacing w:after="0" w:line="360" w:lineRule="auto"/>
        <w:rPr>
          <w:rFonts w:ascii="Times New Roman" w:hAnsi="Times New Roman"/>
          <w:b/>
          <w:sz w:val="24"/>
          <w:szCs w:val="24"/>
        </w:rPr>
      </w:pPr>
      <w:r w:rsidRPr="00EC6525">
        <w:rPr>
          <w:rFonts w:ascii="Times New Roman" w:hAnsi="Times New Roman"/>
          <w:b/>
          <w:sz w:val="24"/>
          <w:szCs w:val="24"/>
        </w:rPr>
        <w:t>Recommendation</w:t>
      </w:r>
      <w:r>
        <w:rPr>
          <w:rFonts w:ascii="Times New Roman" w:hAnsi="Times New Roman"/>
          <w:b/>
          <w:sz w:val="24"/>
          <w:szCs w:val="24"/>
        </w:rPr>
        <w:t>s</w:t>
      </w:r>
    </w:p>
    <w:p w14:paraId="560B95AB" w14:textId="77777777" w:rsidR="008E3C21" w:rsidRPr="00EC6525" w:rsidRDefault="008E3C21" w:rsidP="008E3C21">
      <w:pPr>
        <w:spacing w:after="0" w:line="360" w:lineRule="auto"/>
        <w:rPr>
          <w:rFonts w:ascii="Times New Roman" w:hAnsi="Times New Roman"/>
          <w:sz w:val="24"/>
          <w:szCs w:val="24"/>
        </w:rPr>
      </w:pPr>
    </w:p>
    <w:p w14:paraId="15799857" w14:textId="0720722F" w:rsidR="008E3C21" w:rsidRDefault="008E3C21" w:rsidP="008E3C21">
      <w:pPr>
        <w:spacing w:after="0" w:line="360" w:lineRule="auto"/>
        <w:rPr>
          <w:rFonts w:ascii="Times New Roman" w:hAnsi="Times New Roman"/>
          <w:sz w:val="24"/>
          <w:szCs w:val="24"/>
        </w:rPr>
      </w:pPr>
      <w:r w:rsidRPr="00EC6525">
        <w:rPr>
          <w:rFonts w:ascii="Times New Roman" w:hAnsi="Times New Roman"/>
          <w:sz w:val="24"/>
          <w:szCs w:val="24"/>
        </w:rPr>
        <w:t xml:space="preserve">While there are members of CUNI staff with good international links and memberships in editorial boards and other bodies, the number of international research collaborations of all assessment units is small. There also is an indication that in most of </w:t>
      </w:r>
      <w:r w:rsidR="00C216F4">
        <w:rPr>
          <w:rFonts w:ascii="Times New Roman" w:hAnsi="Times New Roman"/>
          <w:sz w:val="24"/>
          <w:szCs w:val="24"/>
        </w:rPr>
        <w:t>these</w:t>
      </w:r>
      <w:r w:rsidRPr="00EC6525">
        <w:rPr>
          <w:rFonts w:ascii="Times New Roman" w:hAnsi="Times New Roman"/>
          <w:sz w:val="24"/>
          <w:szCs w:val="24"/>
        </w:rPr>
        <w:t xml:space="preserve"> collaborations CUNI researchers do not play a leading role. </w:t>
      </w:r>
    </w:p>
    <w:p w14:paraId="74D60590" w14:textId="77777777" w:rsidR="008E3C21" w:rsidRDefault="008E3C21" w:rsidP="008E3C21">
      <w:pPr>
        <w:spacing w:after="0" w:line="360" w:lineRule="auto"/>
        <w:rPr>
          <w:rFonts w:ascii="Times New Roman" w:hAnsi="Times New Roman"/>
          <w:sz w:val="24"/>
          <w:szCs w:val="24"/>
        </w:rPr>
      </w:pPr>
    </w:p>
    <w:p w14:paraId="51A05BD9" w14:textId="55C0F665" w:rsidR="008E3C21" w:rsidRPr="00EC6525" w:rsidRDefault="008E3C21" w:rsidP="008E3C21">
      <w:pPr>
        <w:spacing w:after="0" w:line="360" w:lineRule="auto"/>
        <w:rPr>
          <w:rFonts w:ascii="Times New Roman" w:hAnsi="Times New Roman"/>
          <w:sz w:val="24"/>
          <w:szCs w:val="24"/>
        </w:rPr>
      </w:pPr>
      <w:r>
        <w:rPr>
          <w:rFonts w:ascii="Times New Roman" w:hAnsi="Times New Roman"/>
          <w:sz w:val="24"/>
          <w:szCs w:val="24"/>
        </w:rPr>
        <w:t>The low participation in EU research programmes is particularlydisappointing . It is difficult to achieve a high successful rate in applications for competitive funding (currently CUNI holds 8 ERC grants) or leading international consortia (80 FP7, H2020 projects,  20 among them are Marie Skłodowska Curie projects)</w:t>
      </w:r>
      <w:r w:rsidR="0015014C">
        <w:rPr>
          <w:rFonts w:ascii="Times New Roman" w:hAnsi="Times New Roman"/>
          <w:sz w:val="24"/>
          <w:szCs w:val="24"/>
        </w:rPr>
        <w:t>,</w:t>
      </w:r>
      <w:r>
        <w:rPr>
          <w:rFonts w:ascii="Times New Roman" w:hAnsi="Times New Roman"/>
          <w:sz w:val="24"/>
          <w:szCs w:val="24"/>
        </w:rPr>
        <w:t xml:space="preserve"> but should be possible to participate as partners in such consortia (H2020, Horizon Europe). This may be a realistic way </w:t>
      </w:r>
      <w:r>
        <w:rPr>
          <w:rFonts w:ascii="Times New Roman" w:hAnsi="Times New Roman"/>
          <w:sz w:val="24"/>
          <w:szCs w:val="24"/>
        </w:rPr>
        <w:lastRenderedPageBreak/>
        <w:t>to build international visibility and recognition. CUNI staff with existing international connections will be instrumental to help their institutions to increase their participation in international projects.</w:t>
      </w:r>
    </w:p>
    <w:p w14:paraId="4BF36557" w14:textId="77777777" w:rsidR="0092108B" w:rsidRDefault="0092108B" w:rsidP="008E3C21">
      <w:pPr>
        <w:spacing w:after="0" w:line="360" w:lineRule="auto"/>
        <w:rPr>
          <w:rFonts w:ascii="Times New Roman" w:hAnsi="Times New Roman"/>
          <w:b/>
          <w:bCs/>
          <w:sz w:val="24"/>
          <w:szCs w:val="24"/>
        </w:rPr>
      </w:pPr>
    </w:p>
    <w:p w14:paraId="0FF07B76" w14:textId="5BC4FD0C" w:rsidR="008E3C21" w:rsidRPr="0092108B" w:rsidRDefault="008E3C21" w:rsidP="008E3C21">
      <w:pPr>
        <w:spacing w:after="0" w:line="360" w:lineRule="auto"/>
        <w:rPr>
          <w:rFonts w:ascii="Times New Roman" w:hAnsi="Times New Roman"/>
          <w:b/>
          <w:bCs/>
          <w:color w:val="FF0000"/>
          <w:sz w:val="24"/>
          <w:szCs w:val="24"/>
        </w:rPr>
      </w:pPr>
      <w:r w:rsidRPr="0092108B">
        <w:rPr>
          <w:rFonts w:ascii="Times New Roman" w:hAnsi="Times New Roman"/>
          <w:b/>
          <w:bCs/>
          <w:color w:val="FF0000"/>
          <w:sz w:val="24"/>
          <w:szCs w:val="24"/>
        </w:rPr>
        <w:br w:type="page"/>
      </w:r>
    </w:p>
    <w:p w14:paraId="199143F2" w14:textId="66F31225" w:rsidR="00447D4E" w:rsidRPr="00AA492D" w:rsidRDefault="00447D4E" w:rsidP="00AA492D">
      <w:pPr>
        <w:pStyle w:val="Odstavecseseznamem"/>
        <w:numPr>
          <w:ilvl w:val="0"/>
          <w:numId w:val="1"/>
        </w:numPr>
        <w:spacing w:after="0" w:line="360" w:lineRule="auto"/>
        <w:jc w:val="both"/>
        <w:rPr>
          <w:rFonts w:ascii="Times New Roman" w:hAnsi="Times New Roman"/>
          <w:b/>
          <w:bCs/>
          <w:sz w:val="32"/>
          <w:szCs w:val="32"/>
        </w:rPr>
      </w:pPr>
      <w:r w:rsidRPr="00AA492D">
        <w:rPr>
          <w:rFonts w:ascii="Times New Roman" w:hAnsi="Times New Roman"/>
          <w:b/>
          <w:bCs/>
          <w:sz w:val="32"/>
          <w:szCs w:val="32"/>
        </w:rPr>
        <w:lastRenderedPageBreak/>
        <w:t xml:space="preserve">Environment for junior researchers and PhD students </w:t>
      </w:r>
    </w:p>
    <w:p w14:paraId="7721CE45" w14:textId="77777777" w:rsidR="00AA492D" w:rsidRPr="00AA492D" w:rsidRDefault="00AA492D" w:rsidP="00AA492D">
      <w:pPr>
        <w:pStyle w:val="Odstavecseseznamem"/>
        <w:spacing w:after="0" w:line="360" w:lineRule="auto"/>
        <w:ind w:left="360"/>
        <w:jc w:val="both"/>
        <w:rPr>
          <w:rFonts w:ascii="Times New Roman" w:hAnsi="Times New Roman"/>
          <w:b/>
          <w:bCs/>
          <w:sz w:val="32"/>
          <w:szCs w:val="32"/>
        </w:rPr>
      </w:pPr>
    </w:p>
    <w:p w14:paraId="74E866F7"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All CUNI medical schools</w:t>
      </w:r>
      <w:r>
        <w:rPr>
          <w:rFonts w:ascii="Times New Roman" w:hAnsi="Times New Roman"/>
          <w:bCs/>
          <w:sz w:val="24"/>
          <w:szCs w:val="24"/>
        </w:rPr>
        <w:t xml:space="preserve"> and the Faculty of Pharmacy</w:t>
      </w:r>
      <w:r w:rsidRPr="00EC6525">
        <w:rPr>
          <w:rFonts w:ascii="Times New Roman" w:hAnsi="Times New Roman"/>
          <w:bCs/>
          <w:sz w:val="24"/>
          <w:szCs w:val="24"/>
        </w:rPr>
        <w:t xml:space="preserve"> provide PhD training, </w:t>
      </w:r>
      <w:r>
        <w:rPr>
          <w:rFonts w:ascii="Times New Roman" w:hAnsi="Times New Roman"/>
          <w:bCs/>
          <w:sz w:val="24"/>
          <w:szCs w:val="24"/>
        </w:rPr>
        <w:t xml:space="preserve">and </w:t>
      </w:r>
      <w:r w:rsidRPr="00EC6525">
        <w:rPr>
          <w:rFonts w:ascii="Times New Roman" w:hAnsi="Times New Roman"/>
          <w:bCs/>
          <w:sz w:val="24"/>
          <w:szCs w:val="24"/>
        </w:rPr>
        <w:t xml:space="preserve">there </w:t>
      </w:r>
      <w:r>
        <w:rPr>
          <w:rFonts w:ascii="Times New Roman" w:hAnsi="Times New Roman"/>
          <w:bCs/>
          <w:sz w:val="24"/>
          <w:szCs w:val="24"/>
        </w:rPr>
        <w:t xml:space="preserve">are </w:t>
      </w:r>
      <w:r w:rsidRPr="00EC6525">
        <w:rPr>
          <w:rFonts w:ascii="Times New Roman" w:hAnsi="Times New Roman"/>
          <w:bCs/>
          <w:sz w:val="24"/>
          <w:szCs w:val="24"/>
        </w:rPr>
        <w:t xml:space="preserve">a number of schemes and some funding additional to the national support for PhD students. Depending on unit assessment, students have opportunities to gain experience abroad, often using the European Erasmus scheme. Most students work with senior researchers or teams. Some faculties operate specific recruitment schemes for recruiting PhD students and (less often) for retaining good students but this is restricted by lack of funding. </w:t>
      </w:r>
    </w:p>
    <w:p w14:paraId="12C2F996" w14:textId="77777777" w:rsidR="00447D4E" w:rsidRPr="00EC6525" w:rsidRDefault="00447D4E" w:rsidP="00447D4E">
      <w:pPr>
        <w:spacing w:after="0" w:line="360" w:lineRule="auto"/>
        <w:jc w:val="both"/>
        <w:rPr>
          <w:rFonts w:ascii="Times New Roman" w:hAnsi="Times New Roman"/>
          <w:bCs/>
          <w:sz w:val="24"/>
          <w:szCs w:val="24"/>
        </w:rPr>
      </w:pPr>
    </w:p>
    <w:p w14:paraId="5CED99AD" w14:textId="34E9E966" w:rsidR="00447D4E" w:rsidRPr="00EC6525" w:rsidRDefault="00447D4E" w:rsidP="00447D4E">
      <w:pPr>
        <w:spacing w:after="0" w:line="360" w:lineRule="auto"/>
        <w:jc w:val="both"/>
        <w:rPr>
          <w:rFonts w:ascii="Times New Roman" w:hAnsi="Times New Roman"/>
          <w:bCs/>
          <w:sz w:val="24"/>
          <w:szCs w:val="24"/>
        </w:rPr>
      </w:pPr>
      <w:r>
        <w:rPr>
          <w:rFonts w:ascii="Times New Roman" w:hAnsi="Times New Roman"/>
          <w:bCs/>
          <w:sz w:val="24"/>
          <w:szCs w:val="24"/>
        </w:rPr>
        <w:t>However, t</w:t>
      </w:r>
      <w:r w:rsidRPr="00EC6525">
        <w:rPr>
          <w:rFonts w:ascii="Times New Roman" w:hAnsi="Times New Roman"/>
          <w:bCs/>
          <w:sz w:val="24"/>
          <w:szCs w:val="24"/>
        </w:rPr>
        <w:t>here is a striking lack of postdoc</w:t>
      </w:r>
      <w:r w:rsidR="00D81E6B">
        <w:rPr>
          <w:rFonts w:ascii="Times New Roman" w:hAnsi="Times New Roman"/>
          <w:bCs/>
          <w:sz w:val="24"/>
          <w:szCs w:val="24"/>
        </w:rPr>
        <w:t>toral</w:t>
      </w:r>
      <w:r>
        <w:rPr>
          <w:rFonts w:ascii="Times New Roman" w:hAnsi="Times New Roman"/>
          <w:bCs/>
          <w:sz w:val="24"/>
          <w:szCs w:val="24"/>
        </w:rPr>
        <w:t xml:space="preserve"> positions</w:t>
      </w:r>
      <w:r w:rsidRPr="00EC6525">
        <w:rPr>
          <w:rFonts w:ascii="Times New Roman" w:hAnsi="Times New Roman"/>
          <w:bCs/>
          <w:sz w:val="24"/>
          <w:szCs w:val="24"/>
        </w:rPr>
        <w:t xml:space="preserve">s in all assessment units; in 2018, there were only 7 postdocs across the five medical schools. </w:t>
      </w:r>
    </w:p>
    <w:p w14:paraId="222D65CE" w14:textId="77777777" w:rsidR="00447D4E" w:rsidRPr="00EC6525" w:rsidRDefault="00447D4E" w:rsidP="00447D4E">
      <w:pPr>
        <w:spacing w:after="0" w:line="360" w:lineRule="auto"/>
        <w:jc w:val="both"/>
        <w:rPr>
          <w:rFonts w:ascii="Times New Roman" w:hAnsi="Times New Roman"/>
          <w:bCs/>
          <w:sz w:val="24"/>
          <w:szCs w:val="24"/>
        </w:rPr>
      </w:pPr>
    </w:p>
    <w:p w14:paraId="42A74F27"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LF1 – operates 22 doctoral programmes. PhD students join research teams and may participated in international mobility (585 students used Erasmus scheme in 2014-18). No fees for students studying in English. The overall completion rate (~35%) but it is substantially higher in medicine (80%).  There is some additional funding for a few projects / students.  </w:t>
      </w:r>
    </w:p>
    <w:p w14:paraId="2794514D"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LF2 – PhD participate in a programme </w:t>
      </w:r>
      <w:r w:rsidRPr="00EC6525">
        <w:rPr>
          <w:rFonts w:ascii="Times New Roman" w:hAnsi="Times New Roman"/>
          <w:sz w:val="24"/>
          <w:szCs w:val="24"/>
        </w:rPr>
        <w:t xml:space="preserve">organised jointly by the three Prague’s medical schools, Faculty of Science and Academy of Sciences. Separate scholarships for the fifth year for selected students in MD/PhD programme runs in collaboration with FNM (approximately 5 to 10 students yearly). A few students sent for international experience. </w:t>
      </w:r>
    </w:p>
    <w:p w14:paraId="7FFFD168" w14:textId="77777777"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LF3 – PhD students are supervised by independent committees, there are research fellowships to abroad for PhD students and postdocs, special budget for Phd student (1 per year) and postdoc recruitment (6 recruited)</w:t>
      </w:r>
    </w:p>
    <w:p w14:paraId="14118C34" w14:textId="77777777" w:rsidR="00447D4E"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t xml:space="preserve">LF Pilsen – 190 postgraduate students in 2018, several foreign PG students. English language programme, foreign stays, most PhD students have PT appointment in projects, low incomes of PhD students is a problem. Several international postdocs have been listed. </w:t>
      </w:r>
    </w:p>
    <w:p w14:paraId="003C5F77" w14:textId="77777777" w:rsidR="00447D4E" w:rsidRPr="00B46F05" w:rsidRDefault="00447D4E" w:rsidP="00447D4E">
      <w:pPr>
        <w:spacing w:after="0" w:line="360" w:lineRule="auto"/>
        <w:jc w:val="both"/>
        <w:rPr>
          <w:rFonts w:ascii="Times New Roman" w:hAnsi="Times New Roman"/>
          <w:bCs/>
          <w:sz w:val="24"/>
          <w:szCs w:val="24"/>
        </w:rPr>
      </w:pPr>
      <w:r w:rsidRPr="00B46F05">
        <w:rPr>
          <w:rFonts w:ascii="Times New Roman" w:hAnsi="Times New Roman"/>
          <w:bCs/>
          <w:sz w:val="24"/>
          <w:szCs w:val="24"/>
        </w:rPr>
        <w:t xml:space="preserve">FaF HK –operates 8 doctoral programmes (in English !). </w:t>
      </w:r>
      <w:r w:rsidRPr="00640B81">
        <w:rPr>
          <w:rFonts w:ascii="Times New Roman" w:hAnsi="Times New Roman"/>
          <w:color w:val="444444"/>
          <w:sz w:val="24"/>
          <w:szCs w:val="24"/>
        </w:rPr>
        <w:t xml:space="preserve">Admission is open to graduates of university studies of pharmacy (or related fields such as medicine or natural sciences) who has acquired a Magister (Mgr.) or Master (MS) degree or its equivalent. The Faculty wants to motivate successful </w:t>
      </w:r>
      <w:r w:rsidRPr="00640B81">
        <w:rPr>
          <w:rFonts w:ascii="Times New Roman" w:hAnsi="Times New Roman"/>
          <w:color w:val="444444"/>
          <w:sz w:val="24"/>
          <w:szCs w:val="24"/>
        </w:rPr>
        <w:lastRenderedPageBreak/>
        <w:t xml:space="preserve">graduates and has increased the basic scholarship CZK 15,000 per month. Students are entitled to </w:t>
      </w:r>
      <w:r w:rsidRPr="00640B81">
        <w:rPr>
          <w:rStyle w:val="Siln"/>
          <w:rFonts w:ascii="Times New Roman" w:hAnsi="Times New Roman"/>
          <w:color w:val="444444"/>
          <w:sz w:val="24"/>
          <w:szCs w:val="24"/>
        </w:rPr>
        <w:t xml:space="preserve">extraordinary scholarships for research publications </w:t>
      </w:r>
      <w:r w:rsidRPr="00640B81">
        <w:rPr>
          <w:rFonts w:ascii="Times New Roman" w:hAnsi="Times New Roman"/>
          <w:color w:val="444444"/>
          <w:sz w:val="24"/>
          <w:szCs w:val="24"/>
        </w:rPr>
        <w:t>that may range from several hundreds to thousands Czech crowns depending on the quality of the journal that published their article. Most full-time doctoral students join national and international research projects at the faculty soon after they commence their studies. the Faculty of Pharmacy in Hradec Kr</w:t>
      </w:r>
      <w:r w:rsidRPr="00640B81">
        <w:rPr>
          <w:rFonts w:ascii="Times New Roman" w:hAnsi="Times New Roman" w:hint="eastAsia"/>
          <w:color w:val="444444"/>
          <w:sz w:val="24"/>
          <w:szCs w:val="24"/>
        </w:rPr>
        <w:t>á</w:t>
      </w:r>
      <w:r w:rsidRPr="00640B81">
        <w:rPr>
          <w:rFonts w:ascii="Times New Roman" w:hAnsi="Times New Roman"/>
          <w:color w:val="444444"/>
          <w:sz w:val="24"/>
          <w:szCs w:val="24"/>
        </w:rPr>
        <w:t>lov</w:t>
      </w:r>
      <w:r w:rsidRPr="00640B81">
        <w:rPr>
          <w:rFonts w:ascii="Times New Roman" w:hAnsi="Times New Roman" w:hint="eastAsia"/>
          <w:color w:val="444444"/>
          <w:sz w:val="24"/>
          <w:szCs w:val="24"/>
        </w:rPr>
        <w:t>é</w:t>
      </w:r>
      <w:r w:rsidRPr="00640B81">
        <w:rPr>
          <w:rFonts w:ascii="Times New Roman" w:hAnsi="Times New Roman"/>
          <w:color w:val="444444"/>
          <w:sz w:val="24"/>
          <w:szCs w:val="24"/>
        </w:rPr>
        <w:t xml:space="preserve"> has the highest success rate of their doctoral degree programme students both within Charles University.</w:t>
      </w:r>
    </w:p>
    <w:p w14:paraId="27271107" w14:textId="77777777" w:rsidR="00447D4E" w:rsidRPr="00EC6525" w:rsidRDefault="00447D4E" w:rsidP="00447D4E">
      <w:pPr>
        <w:spacing w:after="0" w:line="360" w:lineRule="auto"/>
        <w:jc w:val="both"/>
        <w:rPr>
          <w:rFonts w:ascii="Times New Roman" w:hAnsi="Times New Roman"/>
          <w:bCs/>
          <w:sz w:val="24"/>
          <w:szCs w:val="24"/>
        </w:rPr>
      </w:pPr>
    </w:p>
    <w:p w14:paraId="20C5073F" w14:textId="77777777" w:rsidR="00447D4E" w:rsidRDefault="00447D4E" w:rsidP="00447D4E">
      <w:pPr>
        <w:spacing w:after="0" w:line="360" w:lineRule="auto"/>
        <w:jc w:val="both"/>
        <w:rPr>
          <w:rFonts w:ascii="Times New Roman" w:hAnsi="Times New Roman"/>
          <w:b/>
          <w:bCs/>
          <w:sz w:val="24"/>
          <w:szCs w:val="24"/>
        </w:rPr>
      </w:pPr>
      <w:r w:rsidRPr="00EC6525">
        <w:rPr>
          <w:rFonts w:ascii="Times New Roman" w:hAnsi="Times New Roman"/>
          <w:b/>
          <w:bCs/>
          <w:sz w:val="24"/>
          <w:szCs w:val="24"/>
        </w:rPr>
        <w:t xml:space="preserve">Table </w:t>
      </w:r>
      <w:r>
        <w:rPr>
          <w:rFonts w:ascii="Times New Roman" w:hAnsi="Times New Roman"/>
          <w:b/>
          <w:bCs/>
          <w:sz w:val="24"/>
          <w:szCs w:val="24"/>
        </w:rPr>
        <w:t>F.</w:t>
      </w:r>
      <w:r w:rsidRPr="00EC6525">
        <w:rPr>
          <w:rFonts w:ascii="Times New Roman" w:hAnsi="Times New Roman"/>
          <w:b/>
          <w:bCs/>
          <w:sz w:val="24"/>
          <w:szCs w:val="24"/>
        </w:rPr>
        <w:t xml:space="preserve">1. </w:t>
      </w:r>
    </w:p>
    <w:p w14:paraId="483CDD6A" w14:textId="77777777" w:rsidR="008E3C21" w:rsidRPr="00EC6525" w:rsidRDefault="008E3C21" w:rsidP="008E3C21">
      <w:pPr>
        <w:spacing w:after="0" w:line="360" w:lineRule="auto"/>
        <w:jc w:val="both"/>
        <w:rPr>
          <w:rFonts w:ascii="Times New Roman" w:hAnsi="Times New Roman"/>
          <w:b/>
          <w:bCs/>
          <w:sz w:val="24"/>
          <w:szCs w:val="24"/>
        </w:rPr>
      </w:pPr>
      <w:r w:rsidRPr="00EC6525">
        <w:rPr>
          <w:rFonts w:ascii="Times New Roman" w:hAnsi="Times New Roman"/>
          <w:b/>
          <w:bCs/>
          <w:sz w:val="24"/>
          <w:szCs w:val="24"/>
        </w:rPr>
        <w:t>Numbers of postdocs and PhD students in 2018 by faculty.</w:t>
      </w:r>
    </w:p>
    <w:tbl>
      <w:tblPr>
        <w:tblStyle w:val="Mkatabulky"/>
        <w:tblW w:w="0" w:type="auto"/>
        <w:tblLook w:val="04A0" w:firstRow="1" w:lastRow="0" w:firstColumn="1" w:lastColumn="0" w:noHBand="0" w:noVBand="1"/>
      </w:tblPr>
      <w:tblGrid>
        <w:gridCol w:w="2322"/>
        <w:gridCol w:w="2322"/>
        <w:gridCol w:w="2322"/>
        <w:gridCol w:w="2322"/>
      </w:tblGrid>
      <w:tr w:rsidR="008E3C21" w:rsidRPr="00EC6525" w14:paraId="08130DEE" w14:textId="77777777" w:rsidTr="008E3C21">
        <w:tc>
          <w:tcPr>
            <w:tcW w:w="2322" w:type="dxa"/>
          </w:tcPr>
          <w:p w14:paraId="62070ABD" w14:textId="77777777" w:rsidR="008E3C21" w:rsidRPr="00EC6525" w:rsidRDefault="008E3C21" w:rsidP="008E3C21">
            <w:pPr>
              <w:rPr>
                <w:rFonts w:ascii="Times New Roman" w:hAnsi="Times New Roman"/>
                <w:b/>
                <w:bCs/>
                <w:sz w:val="24"/>
                <w:szCs w:val="24"/>
              </w:rPr>
            </w:pPr>
          </w:p>
        </w:tc>
        <w:tc>
          <w:tcPr>
            <w:tcW w:w="2322" w:type="dxa"/>
          </w:tcPr>
          <w:p w14:paraId="4333EFB1"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Postdocs</w:t>
            </w:r>
          </w:p>
        </w:tc>
        <w:tc>
          <w:tcPr>
            <w:tcW w:w="2322" w:type="dxa"/>
          </w:tcPr>
          <w:p w14:paraId="3A7F3CE2"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All PhD students</w:t>
            </w:r>
          </w:p>
        </w:tc>
        <w:tc>
          <w:tcPr>
            <w:tcW w:w="2322" w:type="dxa"/>
          </w:tcPr>
          <w:p w14:paraId="3E4F6CF0"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Foreign PhD* students</w:t>
            </w:r>
          </w:p>
        </w:tc>
      </w:tr>
      <w:tr w:rsidR="008E3C21" w:rsidRPr="00EC6525" w14:paraId="5B1D4B5C" w14:textId="77777777" w:rsidTr="008E3C21">
        <w:tc>
          <w:tcPr>
            <w:tcW w:w="2322" w:type="dxa"/>
          </w:tcPr>
          <w:p w14:paraId="5E0A15A9"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LF1</w:t>
            </w:r>
          </w:p>
        </w:tc>
        <w:tc>
          <w:tcPr>
            <w:tcW w:w="2322" w:type="dxa"/>
          </w:tcPr>
          <w:p w14:paraId="43EDE90F"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1912B72C"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888</w:t>
            </w:r>
          </w:p>
        </w:tc>
        <w:tc>
          <w:tcPr>
            <w:tcW w:w="2322" w:type="dxa"/>
          </w:tcPr>
          <w:p w14:paraId="7E09DAD6"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55</w:t>
            </w:r>
          </w:p>
        </w:tc>
      </w:tr>
      <w:tr w:rsidR="008E3C21" w:rsidRPr="00EC6525" w14:paraId="62A32284" w14:textId="77777777" w:rsidTr="008E3C21">
        <w:tc>
          <w:tcPr>
            <w:tcW w:w="2322" w:type="dxa"/>
          </w:tcPr>
          <w:p w14:paraId="0DE0FFF0"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LF2</w:t>
            </w:r>
          </w:p>
        </w:tc>
        <w:tc>
          <w:tcPr>
            <w:tcW w:w="2322" w:type="dxa"/>
          </w:tcPr>
          <w:p w14:paraId="0BC742CD"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765A772E"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338</w:t>
            </w:r>
          </w:p>
        </w:tc>
        <w:tc>
          <w:tcPr>
            <w:tcW w:w="2322" w:type="dxa"/>
          </w:tcPr>
          <w:p w14:paraId="079B0F35"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21</w:t>
            </w:r>
          </w:p>
        </w:tc>
      </w:tr>
      <w:tr w:rsidR="008E3C21" w:rsidRPr="00EC6525" w14:paraId="4965E3A7" w14:textId="77777777" w:rsidTr="008E3C21">
        <w:tc>
          <w:tcPr>
            <w:tcW w:w="2322" w:type="dxa"/>
          </w:tcPr>
          <w:p w14:paraId="27701FFC"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LF3</w:t>
            </w:r>
          </w:p>
        </w:tc>
        <w:tc>
          <w:tcPr>
            <w:tcW w:w="2322" w:type="dxa"/>
          </w:tcPr>
          <w:p w14:paraId="1387CDF5"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7</w:t>
            </w:r>
          </w:p>
        </w:tc>
        <w:tc>
          <w:tcPr>
            <w:tcW w:w="2322" w:type="dxa"/>
          </w:tcPr>
          <w:p w14:paraId="5BF4E773"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307</w:t>
            </w:r>
          </w:p>
        </w:tc>
        <w:tc>
          <w:tcPr>
            <w:tcW w:w="2322" w:type="dxa"/>
          </w:tcPr>
          <w:p w14:paraId="5D601080"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18</w:t>
            </w:r>
          </w:p>
        </w:tc>
      </w:tr>
      <w:tr w:rsidR="008E3C21" w:rsidRPr="00EC6525" w14:paraId="71F8986B" w14:textId="77777777" w:rsidTr="008E3C21">
        <w:tc>
          <w:tcPr>
            <w:tcW w:w="2322" w:type="dxa"/>
          </w:tcPr>
          <w:p w14:paraId="64DB5FBF"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 HK</w:t>
            </w:r>
          </w:p>
        </w:tc>
        <w:tc>
          <w:tcPr>
            <w:tcW w:w="2322" w:type="dxa"/>
          </w:tcPr>
          <w:p w14:paraId="4EF519AC"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2BE6BBEB"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227</w:t>
            </w:r>
          </w:p>
        </w:tc>
        <w:tc>
          <w:tcPr>
            <w:tcW w:w="2322" w:type="dxa"/>
          </w:tcPr>
          <w:p w14:paraId="4DC3F771"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8</w:t>
            </w:r>
          </w:p>
        </w:tc>
      </w:tr>
      <w:tr w:rsidR="008E3C21" w:rsidRPr="00EC6525" w14:paraId="67B51B72" w14:textId="77777777" w:rsidTr="008E3C21">
        <w:tc>
          <w:tcPr>
            <w:tcW w:w="2322" w:type="dxa"/>
          </w:tcPr>
          <w:p w14:paraId="68FC3010"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LF Pilsen</w:t>
            </w:r>
          </w:p>
        </w:tc>
        <w:tc>
          <w:tcPr>
            <w:tcW w:w="2322" w:type="dxa"/>
          </w:tcPr>
          <w:p w14:paraId="2DCCC4EF"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0</w:t>
            </w:r>
          </w:p>
        </w:tc>
        <w:tc>
          <w:tcPr>
            <w:tcW w:w="2322" w:type="dxa"/>
          </w:tcPr>
          <w:p w14:paraId="23ABC69D"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186</w:t>
            </w:r>
          </w:p>
        </w:tc>
        <w:tc>
          <w:tcPr>
            <w:tcW w:w="2322" w:type="dxa"/>
          </w:tcPr>
          <w:p w14:paraId="0FEF3AF2" w14:textId="77777777" w:rsidR="008E3C21" w:rsidRPr="00EC6525" w:rsidRDefault="008E3C21" w:rsidP="008E3C21">
            <w:pPr>
              <w:jc w:val="center"/>
              <w:rPr>
                <w:rFonts w:ascii="Times New Roman" w:hAnsi="Times New Roman"/>
                <w:bCs/>
                <w:sz w:val="24"/>
                <w:szCs w:val="24"/>
              </w:rPr>
            </w:pPr>
            <w:r w:rsidRPr="00EC6525">
              <w:rPr>
                <w:rFonts w:ascii="Times New Roman" w:hAnsi="Times New Roman"/>
                <w:bCs/>
                <w:sz w:val="24"/>
                <w:szCs w:val="24"/>
              </w:rPr>
              <w:t>7</w:t>
            </w:r>
          </w:p>
        </w:tc>
      </w:tr>
      <w:tr w:rsidR="008E3C21" w:rsidRPr="00EC6525" w14:paraId="41181309" w14:textId="77777777" w:rsidTr="008E3C21">
        <w:tc>
          <w:tcPr>
            <w:tcW w:w="2322" w:type="dxa"/>
          </w:tcPr>
          <w:p w14:paraId="29EAD3D6" w14:textId="77777777" w:rsidR="008E3C21" w:rsidRPr="00EC6525" w:rsidRDefault="008E3C21" w:rsidP="008E3C21">
            <w:pPr>
              <w:rPr>
                <w:rFonts w:ascii="Times New Roman" w:hAnsi="Times New Roman"/>
                <w:b/>
                <w:bCs/>
                <w:sz w:val="24"/>
                <w:szCs w:val="24"/>
              </w:rPr>
            </w:pPr>
            <w:r>
              <w:rPr>
                <w:rFonts w:ascii="Times New Roman" w:hAnsi="Times New Roman"/>
                <w:b/>
                <w:bCs/>
                <w:sz w:val="24"/>
                <w:szCs w:val="24"/>
              </w:rPr>
              <w:t>FaF HK</w:t>
            </w:r>
          </w:p>
        </w:tc>
        <w:tc>
          <w:tcPr>
            <w:tcW w:w="2322" w:type="dxa"/>
          </w:tcPr>
          <w:p w14:paraId="30CD700A"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0</w:t>
            </w:r>
          </w:p>
        </w:tc>
        <w:tc>
          <w:tcPr>
            <w:tcW w:w="2322" w:type="dxa"/>
          </w:tcPr>
          <w:p w14:paraId="54500B6B"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148</w:t>
            </w:r>
          </w:p>
        </w:tc>
        <w:tc>
          <w:tcPr>
            <w:tcW w:w="2322" w:type="dxa"/>
          </w:tcPr>
          <w:p w14:paraId="1DD2F545"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25</w:t>
            </w:r>
          </w:p>
        </w:tc>
      </w:tr>
      <w:tr w:rsidR="008E3C21" w:rsidRPr="00EC6525" w14:paraId="3484DB55" w14:textId="77777777" w:rsidTr="008E3C21">
        <w:tc>
          <w:tcPr>
            <w:tcW w:w="2322" w:type="dxa"/>
          </w:tcPr>
          <w:p w14:paraId="539F183C" w14:textId="77777777" w:rsidR="008E3C21" w:rsidRPr="00EC6525" w:rsidRDefault="008E3C21" w:rsidP="008E3C21">
            <w:pPr>
              <w:rPr>
                <w:rFonts w:ascii="Times New Roman" w:hAnsi="Times New Roman"/>
                <w:b/>
                <w:bCs/>
                <w:sz w:val="24"/>
                <w:szCs w:val="24"/>
              </w:rPr>
            </w:pPr>
            <w:r w:rsidRPr="00EC6525">
              <w:rPr>
                <w:rFonts w:ascii="Times New Roman" w:hAnsi="Times New Roman"/>
                <w:b/>
                <w:bCs/>
                <w:sz w:val="24"/>
                <w:szCs w:val="24"/>
              </w:rPr>
              <w:t>Total</w:t>
            </w:r>
          </w:p>
        </w:tc>
        <w:tc>
          <w:tcPr>
            <w:tcW w:w="2322" w:type="dxa"/>
          </w:tcPr>
          <w:p w14:paraId="19719914" w14:textId="77777777" w:rsidR="008E3C21" w:rsidRPr="00EC6525" w:rsidRDefault="008E3C21" w:rsidP="008E3C21">
            <w:pPr>
              <w:jc w:val="center"/>
              <w:rPr>
                <w:rFonts w:ascii="Times New Roman" w:hAnsi="Times New Roman"/>
                <w:b/>
                <w:bCs/>
                <w:sz w:val="24"/>
                <w:szCs w:val="24"/>
              </w:rPr>
            </w:pPr>
            <w:r w:rsidRPr="00EC6525">
              <w:rPr>
                <w:rFonts w:ascii="Times New Roman" w:hAnsi="Times New Roman"/>
                <w:b/>
                <w:bCs/>
                <w:sz w:val="24"/>
                <w:szCs w:val="24"/>
              </w:rPr>
              <w:t>7</w:t>
            </w:r>
          </w:p>
        </w:tc>
        <w:tc>
          <w:tcPr>
            <w:tcW w:w="2322" w:type="dxa"/>
          </w:tcPr>
          <w:p w14:paraId="360A6198"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2094</w:t>
            </w:r>
          </w:p>
        </w:tc>
        <w:tc>
          <w:tcPr>
            <w:tcW w:w="2322" w:type="dxa"/>
          </w:tcPr>
          <w:p w14:paraId="474EC914" w14:textId="77777777" w:rsidR="008E3C21" w:rsidRPr="00EC6525" w:rsidRDefault="008E3C21" w:rsidP="008E3C21">
            <w:pPr>
              <w:jc w:val="center"/>
              <w:rPr>
                <w:rFonts w:ascii="Times New Roman" w:hAnsi="Times New Roman"/>
                <w:b/>
                <w:bCs/>
                <w:sz w:val="24"/>
                <w:szCs w:val="24"/>
              </w:rPr>
            </w:pPr>
            <w:r>
              <w:rPr>
                <w:rFonts w:ascii="Times New Roman" w:hAnsi="Times New Roman"/>
                <w:b/>
                <w:bCs/>
                <w:sz w:val="24"/>
                <w:szCs w:val="24"/>
              </w:rPr>
              <w:t>134</w:t>
            </w:r>
          </w:p>
        </w:tc>
      </w:tr>
    </w:tbl>
    <w:p w14:paraId="67DF2843" w14:textId="77777777" w:rsidR="008E3C21" w:rsidRPr="00EC6525" w:rsidRDefault="008E3C21" w:rsidP="008E3C21">
      <w:pPr>
        <w:rPr>
          <w:rFonts w:ascii="Times New Roman" w:hAnsi="Times New Roman"/>
          <w:bCs/>
          <w:sz w:val="24"/>
          <w:szCs w:val="24"/>
        </w:rPr>
      </w:pPr>
      <w:r w:rsidRPr="00EC6525">
        <w:rPr>
          <w:rFonts w:ascii="Times New Roman" w:hAnsi="Times New Roman"/>
          <w:bCs/>
          <w:sz w:val="24"/>
          <w:szCs w:val="24"/>
        </w:rPr>
        <w:t xml:space="preserve">*Students with nationality other than Czech or Slovak. </w:t>
      </w:r>
    </w:p>
    <w:p w14:paraId="5C162A9D" w14:textId="77777777" w:rsidR="00447D4E" w:rsidRPr="00EC6525" w:rsidRDefault="00447D4E" w:rsidP="00447D4E">
      <w:pPr>
        <w:spacing w:after="0" w:line="360" w:lineRule="auto"/>
        <w:jc w:val="both"/>
        <w:rPr>
          <w:rFonts w:ascii="Times New Roman" w:hAnsi="Times New Roman"/>
          <w:bCs/>
          <w:sz w:val="24"/>
          <w:szCs w:val="24"/>
        </w:rPr>
      </w:pPr>
    </w:p>
    <w:p w14:paraId="0496DCB2" w14:textId="77777777" w:rsidR="00447D4E" w:rsidRPr="00EC6525" w:rsidRDefault="00447D4E" w:rsidP="00447D4E">
      <w:pPr>
        <w:spacing w:after="0" w:line="360" w:lineRule="auto"/>
        <w:jc w:val="both"/>
        <w:rPr>
          <w:rFonts w:ascii="Times New Roman" w:hAnsi="Times New Roman"/>
          <w:bCs/>
          <w:sz w:val="24"/>
          <w:szCs w:val="24"/>
        </w:rPr>
      </w:pPr>
    </w:p>
    <w:p w14:paraId="2A9D3CA2" w14:textId="70D126C1" w:rsidR="00447D4E" w:rsidRPr="00EC6525" w:rsidRDefault="00447D4E" w:rsidP="00447D4E">
      <w:pPr>
        <w:spacing w:after="0" w:line="360" w:lineRule="auto"/>
        <w:jc w:val="both"/>
        <w:rPr>
          <w:rFonts w:ascii="Times New Roman" w:hAnsi="Times New Roman"/>
          <w:bCs/>
          <w:sz w:val="24"/>
          <w:szCs w:val="24"/>
        </w:rPr>
      </w:pPr>
      <w:r w:rsidRPr="00EC6525">
        <w:rPr>
          <w:rFonts w:ascii="Times New Roman" w:hAnsi="Times New Roman"/>
          <w:bCs/>
          <w:sz w:val="24"/>
          <w:szCs w:val="24"/>
        </w:rPr>
        <w:lastRenderedPageBreak/>
        <w:t xml:space="preserve">Self-assessment says very little about undergraduates. PhD students, by definition, </w:t>
      </w:r>
      <w:r w:rsidR="00D81E6B">
        <w:rPr>
          <w:rFonts w:ascii="Times New Roman" w:hAnsi="Times New Roman"/>
          <w:bCs/>
          <w:sz w:val="24"/>
          <w:szCs w:val="24"/>
        </w:rPr>
        <w:t>carry out</w:t>
      </w:r>
      <w:r w:rsidRPr="00EC6525">
        <w:rPr>
          <w:rFonts w:ascii="Times New Roman" w:hAnsi="Times New Roman"/>
          <w:bCs/>
          <w:sz w:val="24"/>
          <w:szCs w:val="24"/>
        </w:rPr>
        <w:t xml:space="preserve"> research projects</w:t>
      </w:r>
      <w:r w:rsidR="00D81E6B">
        <w:rPr>
          <w:rFonts w:ascii="Times New Roman" w:hAnsi="Times New Roman"/>
          <w:bCs/>
          <w:sz w:val="24"/>
          <w:szCs w:val="24"/>
        </w:rPr>
        <w:t>,</w:t>
      </w:r>
      <w:r w:rsidRPr="00EC6525">
        <w:rPr>
          <w:rFonts w:ascii="Times New Roman" w:hAnsi="Times New Roman"/>
          <w:bCs/>
          <w:sz w:val="24"/>
          <w:szCs w:val="24"/>
        </w:rPr>
        <w:t xml:space="preserve"> but it is </w:t>
      </w:r>
      <w:r w:rsidR="00D81E6B">
        <w:rPr>
          <w:rFonts w:ascii="Times New Roman" w:hAnsi="Times New Roman"/>
          <w:bCs/>
          <w:sz w:val="24"/>
          <w:szCs w:val="24"/>
        </w:rPr>
        <w:t>un</w:t>
      </w:r>
      <w:r w:rsidRPr="00EC6525">
        <w:rPr>
          <w:rFonts w:ascii="Times New Roman" w:hAnsi="Times New Roman"/>
          <w:bCs/>
          <w:sz w:val="24"/>
          <w:szCs w:val="24"/>
        </w:rPr>
        <w:t>clear whether the</w:t>
      </w:r>
      <w:r w:rsidR="00D81E6B">
        <w:rPr>
          <w:rFonts w:ascii="Times New Roman" w:hAnsi="Times New Roman"/>
          <w:bCs/>
          <w:sz w:val="24"/>
          <w:szCs w:val="24"/>
        </w:rPr>
        <w:t>y</w:t>
      </w:r>
      <w:r w:rsidRPr="00EC6525">
        <w:rPr>
          <w:rFonts w:ascii="Times New Roman" w:hAnsi="Times New Roman"/>
          <w:bCs/>
          <w:sz w:val="24"/>
          <w:szCs w:val="24"/>
        </w:rPr>
        <w:t xml:space="preserve"> are integral parts of senior research teams and what is the quality of the</w:t>
      </w:r>
      <w:r>
        <w:rPr>
          <w:rFonts w:ascii="Times New Roman" w:hAnsi="Times New Roman"/>
          <w:bCs/>
          <w:sz w:val="24"/>
          <w:szCs w:val="24"/>
        </w:rPr>
        <w:t xml:space="preserve"> </w:t>
      </w:r>
      <w:r w:rsidRPr="00EC6525">
        <w:rPr>
          <w:rFonts w:ascii="Times New Roman" w:hAnsi="Times New Roman"/>
          <w:bCs/>
          <w:sz w:val="24"/>
          <w:szCs w:val="24"/>
        </w:rPr>
        <w:t>research</w:t>
      </w:r>
      <w:r>
        <w:rPr>
          <w:rFonts w:ascii="Times New Roman" w:hAnsi="Times New Roman"/>
          <w:bCs/>
          <w:sz w:val="24"/>
          <w:szCs w:val="24"/>
        </w:rPr>
        <w:t xml:space="preserve"> produced by PhD students</w:t>
      </w:r>
      <w:r w:rsidRPr="00EC6525">
        <w:rPr>
          <w:rFonts w:ascii="Times New Roman" w:hAnsi="Times New Roman"/>
          <w:bCs/>
          <w:sz w:val="24"/>
          <w:szCs w:val="24"/>
        </w:rPr>
        <w:t xml:space="preserve">. </w:t>
      </w:r>
    </w:p>
    <w:p w14:paraId="6D2BCD85" w14:textId="77777777" w:rsidR="00447D4E" w:rsidRPr="00EC6525" w:rsidRDefault="00447D4E" w:rsidP="00447D4E">
      <w:pPr>
        <w:spacing w:after="0" w:line="360" w:lineRule="auto"/>
        <w:rPr>
          <w:rFonts w:ascii="Times New Roman" w:hAnsi="Times New Roman"/>
        </w:rPr>
      </w:pPr>
    </w:p>
    <w:p w14:paraId="447849C6" w14:textId="77777777" w:rsidR="00447D4E" w:rsidRPr="00EC6525" w:rsidRDefault="00447D4E" w:rsidP="00447D4E">
      <w:pPr>
        <w:spacing w:after="0" w:line="360" w:lineRule="auto"/>
        <w:jc w:val="both"/>
        <w:rPr>
          <w:rFonts w:ascii="Times New Roman" w:hAnsi="Times New Roman"/>
          <w:bCs/>
          <w:sz w:val="24"/>
          <w:szCs w:val="24"/>
        </w:rPr>
      </w:pPr>
      <w:r>
        <w:rPr>
          <w:rFonts w:ascii="Times New Roman" w:hAnsi="Times New Roman"/>
          <w:sz w:val="24"/>
          <w:szCs w:val="24"/>
        </w:rPr>
        <w:t xml:space="preserve">It is difficult to assess the quality of PhD training. There are formal requirements and courses PhD have to take. </w:t>
      </w:r>
      <w:r>
        <w:rPr>
          <w:rFonts w:ascii="Times New Roman" w:hAnsi="Times New Roman"/>
          <w:bCs/>
          <w:sz w:val="24"/>
          <w:szCs w:val="24"/>
        </w:rPr>
        <w:t xml:space="preserve">There are also requirements on number of publication with IF but it could be any IF, the quality of the training is difficult to assess. </w:t>
      </w:r>
    </w:p>
    <w:p w14:paraId="55B2FE7B" w14:textId="77777777" w:rsidR="00447D4E" w:rsidRDefault="00447D4E" w:rsidP="00447D4E">
      <w:pPr>
        <w:spacing w:after="0" w:line="360" w:lineRule="auto"/>
        <w:rPr>
          <w:rFonts w:ascii="Times New Roman" w:hAnsi="Times New Roman"/>
          <w:sz w:val="24"/>
          <w:szCs w:val="24"/>
        </w:rPr>
      </w:pPr>
    </w:p>
    <w:p w14:paraId="4ED98E72" w14:textId="22C8ADA8" w:rsidR="00447D4E" w:rsidRPr="00EC6525" w:rsidRDefault="00447D4E" w:rsidP="00447D4E">
      <w:pPr>
        <w:spacing w:after="0" w:line="360" w:lineRule="auto"/>
        <w:rPr>
          <w:rFonts w:ascii="Times New Roman" w:hAnsi="Times New Roman"/>
          <w:sz w:val="24"/>
          <w:szCs w:val="24"/>
        </w:rPr>
      </w:pPr>
      <w:r w:rsidRPr="00EC6525">
        <w:rPr>
          <w:rFonts w:ascii="Times New Roman" w:hAnsi="Times New Roman"/>
          <w:sz w:val="24"/>
          <w:szCs w:val="24"/>
        </w:rPr>
        <w:t xml:space="preserve">The self-assessment documents listed a few successful examples but whether this applies to nearly 2000 students registered in 2018 is </w:t>
      </w:r>
      <w:r w:rsidR="00D81E6B">
        <w:rPr>
          <w:rFonts w:ascii="Times New Roman" w:hAnsi="Times New Roman"/>
          <w:sz w:val="24"/>
          <w:szCs w:val="24"/>
        </w:rPr>
        <w:t>un</w:t>
      </w:r>
      <w:r w:rsidRPr="00EC6525">
        <w:rPr>
          <w:rFonts w:ascii="Times New Roman" w:hAnsi="Times New Roman"/>
          <w:sz w:val="24"/>
          <w:szCs w:val="24"/>
        </w:rPr>
        <w:t xml:space="preserve">clear. Only one self-assessment (LF3) mentioned an effort to retain good PhD students. </w:t>
      </w:r>
    </w:p>
    <w:p w14:paraId="0B3A9C7C" w14:textId="77777777" w:rsidR="00447D4E" w:rsidRPr="00526BD4" w:rsidRDefault="00447D4E" w:rsidP="00447D4E">
      <w:pPr>
        <w:spacing w:after="0" w:line="360" w:lineRule="auto"/>
        <w:rPr>
          <w:rFonts w:ascii="Times New Roman" w:hAnsi="Times New Roman"/>
          <w:b/>
          <w:sz w:val="24"/>
          <w:szCs w:val="24"/>
        </w:rPr>
      </w:pPr>
      <w:r>
        <w:rPr>
          <w:rFonts w:ascii="Times New Roman" w:hAnsi="Times New Roman"/>
          <w:b/>
          <w:sz w:val="24"/>
          <w:szCs w:val="24"/>
        </w:rPr>
        <w:t xml:space="preserve">Conclusions </w:t>
      </w:r>
    </w:p>
    <w:p w14:paraId="3CC560D3" w14:textId="2B0F7154" w:rsidR="00C9780C" w:rsidRPr="00EC6525" w:rsidRDefault="00447D4E" w:rsidP="00447D4E">
      <w:pPr>
        <w:spacing w:after="0" w:line="360" w:lineRule="auto"/>
        <w:rPr>
          <w:rFonts w:ascii="Times New Roman" w:hAnsi="Times New Roman"/>
          <w:sz w:val="24"/>
          <w:szCs w:val="24"/>
        </w:rPr>
      </w:pPr>
      <w:r>
        <w:rPr>
          <w:rFonts w:ascii="Times New Roman" w:hAnsi="Times New Roman"/>
          <w:sz w:val="24"/>
          <w:szCs w:val="24"/>
        </w:rPr>
        <w:t xml:space="preserve">The numbers of PhD students seem reasonably high but the quality of the training and of the research they undertake is difficult to assess. There does not seem any systematic effort to retain the best PhD students at the university. There are very few postdocs in all CUNI medical schools and Faculty of pharmcy; this is possibly related to low retention of good PhD students. While the low number of postdoc positions is probably related to lack of funding, one should consider that even internationally much of the research work often depends on having sufficient number of junior staff dedicated to research (i.e. full time on research). It is unrealistic to expect junior staff employed on clinical appointments to be able to conduct high quality research in their spare time. </w:t>
      </w:r>
    </w:p>
    <w:p w14:paraId="7B205F15" w14:textId="77777777" w:rsidR="00C9780C" w:rsidRDefault="00C9780C" w:rsidP="003672BA">
      <w:pPr>
        <w:ind w:right="93"/>
        <w:rPr>
          <w:rFonts w:ascii="Times New Roman" w:hAnsi="Times New Roman"/>
          <w:b/>
          <w:sz w:val="24"/>
          <w:szCs w:val="24"/>
        </w:rPr>
      </w:pPr>
    </w:p>
    <w:p w14:paraId="44985339" w14:textId="1AE3097A" w:rsidR="009A6BE3" w:rsidRDefault="009A6BE3" w:rsidP="003672BA">
      <w:pPr>
        <w:spacing w:after="0" w:line="360" w:lineRule="auto"/>
        <w:ind w:left="1077" w:right="93"/>
        <w:jc w:val="both"/>
        <w:rPr>
          <w:rFonts w:ascii="Times New Roman" w:hAnsi="Times New Roman"/>
          <w:bCs/>
          <w:sz w:val="24"/>
          <w:szCs w:val="24"/>
          <w:lang w:val="en-GB"/>
        </w:rPr>
      </w:pPr>
    </w:p>
    <w:p w14:paraId="12EF48F7" w14:textId="308A375B" w:rsidR="00726560" w:rsidRDefault="00726560" w:rsidP="003672BA">
      <w:pPr>
        <w:spacing w:after="0" w:line="360" w:lineRule="auto"/>
        <w:ind w:left="1077" w:right="93"/>
        <w:jc w:val="both"/>
        <w:rPr>
          <w:rFonts w:ascii="Times New Roman" w:hAnsi="Times New Roman"/>
          <w:bCs/>
          <w:sz w:val="24"/>
          <w:szCs w:val="24"/>
          <w:lang w:val="en-GB"/>
        </w:rPr>
      </w:pPr>
    </w:p>
    <w:p w14:paraId="417A6517" w14:textId="06ADB64E" w:rsidR="00726560" w:rsidRDefault="00726560" w:rsidP="003672BA">
      <w:pPr>
        <w:spacing w:after="0" w:line="360" w:lineRule="auto"/>
        <w:ind w:left="1077" w:right="93"/>
        <w:jc w:val="both"/>
        <w:rPr>
          <w:rFonts w:ascii="Times New Roman" w:hAnsi="Times New Roman"/>
          <w:bCs/>
          <w:sz w:val="24"/>
          <w:szCs w:val="24"/>
          <w:lang w:val="en-GB"/>
        </w:rPr>
      </w:pPr>
    </w:p>
    <w:p w14:paraId="51377D64" w14:textId="6A35043D" w:rsidR="00726560" w:rsidRDefault="00726560" w:rsidP="003672BA">
      <w:pPr>
        <w:spacing w:after="0" w:line="360" w:lineRule="auto"/>
        <w:ind w:left="1077" w:right="93"/>
        <w:jc w:val="both"/>
        <w:rPr>
          <w:rFonts w:ascii="Times New Roman" w:hAnsi="Times New Roman"/>
          <w:bCs/>
          <w:sz w:val="24"/>
          <w:szCs w:val="24"/>
          <w:lang w:val="en-GB"/>
        </w:rPr>
      </w:pPr>
    </w:p>
    <w:p w14:paraId="0EF08D80" w14:textId="7BD297F5" w:rsidR="00726560" w:rsidRDefault="00726560" w:rsidP="003672BA">
      <w:pPr>
        <w:spacing w:after="0" w:line="360" w:lineRule="auto"/>
        <w:ind w:left="1077" w:right="93"/>
        <w:jc w:val="both"/>
        <w:rPr>
          <w:rFonts w:ascii="Times New Roman" w:hAnsi="Times New Roman"/>
          <w:bCs/>
          <w:sz w:val="24"/>
          <w:szCs w:val="24"/>
          <w:lang w:val="en-GB"/>
        </w:rPr>
      </w:pPr>
    </w:p>
    <w:p w14:paraId="591C9B6C" w14:textId="113EEC1A" w:rsidR="00726560" w:rsidRDefault="00726560" w:rsidP="003672BA">
      <w:pPr>
        <w:spacing w:after="0" w:line="360" w:lineRule="auto"/>
        <w:ind w:left="1077" w:right="93"/>
        <w:jc w:val="both"/>
        <w:rPr>
          <w:rFonts w:ascii="Times New Roman" w:hAnsi="Times New Roman"/>
          <w:bCs/>
          <w:sz w:val="24"/>
          <w:szCs w:val="24"/>
          <w:lang w:val="en-GB"/>
        </w:rPr>
      </w:pPr>
    </w:p>
    <w:p w14:paraId="35F462C9" w14:textId="4BC20C95" w:rsidR="00726560" w:rsidRDefault="00726560" w:rsidP="003672BA">
      <w:pPr>
        <w:spacing w:after="0" w:line="360" w:lineRule="auto"/>
        <w:ind w:left="1077" w:right="93"/>
        <w:jc w:val="both"/>
        <w:rPr>
          <w:rFonts w:ascii="Times New Roman" w:hAnsi="Times New Roman"/>
          <w:bCs/>
          <w:sz w:val="24"/>
          <w:szCs w:val="24"/>
          <w:lang w:val="en-GB"/>
        </w:rPr>
      </w:pPr>
    </w:p>
    <w:p w14:paraId="6E6994FB" w14:textId="77777777" w:rsidR="00726560" w:rsidRPr="00AC72BF" w:rsidRDefault="00726560" w:rsidP="003672BA">
      <w:pPr>
        <w:spacing w:after="0" w:line="360" w:lineRule="auto"/>
        <w:ind w:left="1077" w:right="93"/>
        <w:jc w:val="both"/>
        <w:rPr>
          <w:rFonts w:ascii="Times New Roman" w:hAnsi="Times New Roman"/>
          <w:bCs/>
          <w:sz w:val="24"/>
          <w:szCs w:val="24"/>
          <w:lang w:val="en-GB"/>
        </w:rPr>
      </w:pPr>
    </w:p>
    <w:p w14:paraId="22BD9909" w14:textId="3C25AF51" w:rsidR="00CD007C" w:rsidRPr="00AA492D" w:rsidRDefault="001B0FE9" w:rsidP="003672BA">
      <w:pPr>
        <w:pStyle w:val="Odstavecseseznamem"/>
        <w:numPr>
          <w:ilvl w:val="0"/>
          <w:numId w:val="3"/>
        </w:numPr>
        <w:spacing w:after="0" w:line="360" w:lineRule="auto"/>
        <w:ind w:right="93"/>
        <w:jc w:val="both"/>
        <w:rPr>
          <w:rFonts w:ascii="Times New Roman" w:hAnsi="Times New Roman"/>
          <w:b/>
          <w:bCs/>
          <w:sz w:val="32"/>
          <w:szCs w:val="32"/>
          <w:lang w:val="en-GB"/>
        </w:rPr>
      </w:pPr>
      <w:r w:rsidRPr="00AA492D">
        <w:rPr>
          <w:rFonts w:ascii="Times New Roman" w:hAnsi="Times New Roman"/>
          <w:b/>
          <w:bCs/>
          <w:sz w:val="32"/>
          <w:szCs w:val="32"/>
          <w:lang w:val="en-GB"/>
        </w:rPr>
        <w:t>Summary</w:t>
      </w:r>
      <w:r w:rsidR="00883590" w:rsidRPr="00AA492D">
        <w:rPr>
          <w:rFonts w:ascii="Times New Roman" w:hAnsi="Times New Roman"/>
          <w:b/>
          <w:bCs/>
          <w:sz w:val="32"/>
          <w:szCs w:val="32"/>
          <w:lang w:val="en-GB"/>
        </w:rPr>
        <w:t>, Conclusion, Recommendations</w:t>
      </w:r>
    </w:p>
    <w:p w14:paraId="4D2E7BB1" w14:textId="77777777" w:rsidR="00883590" w:rsidRDefault="00883590" w:rsidP="00883590">
      <w:pPr>
        <w:pStyle w:val="Odstavecseseznamem"/>
        <w:spacing w:after="0" w:line="360" w:lineRule="auto"/>
        <w:ind w:right="93"/>
        <w:jc w:val="both"/>
        <w:rPr>
          <w:rFonts w:ascii="Times New Roman" w:hAnsi="Times New Roman"/>
          <w:b/>
          <w:bCs/>
          <w:sz w:val="24"/>
          <w:szCs w:val="24"/>
          <w:lang w:val="en-GB"/>
        </w:rPr>
      </w:pPr>
    </w:p>
    <w:p w14:paraId="1AA36AD6" w14:textId="27C40E86" w:rsidR="00883590" w:rsidRPr="003A3BBE" w:rsidRDefault="00883590" w:rsidP="00883590">
      <w:pPr>
        <w:rPr>
          <w:rFonts w:ascii="Times New Roman" w:hAnsi="Times New Roman"/>
          <w:color w:val="0E101A"/>
          <w:lang w:val="en-GB"/>
        </w:rPr>
      </w:pPr>
      <w:r w:rsidRPr="006350BD">
        <w:rPr>
          <w:rFonts w:ascii="Times New Roman" w:hAnsi="Times New Roman"/>
          <w:color w:val="0E101A"/>
          <w:sz w:val="24"/>
          <w:szCs w:val="24"/>
          <w:lang w:val="en-GB"/>
        </w:rPr>
        <w:t xml:space="preserve">Considering the sub-optimal </w:t>
      </w:r>
      <w:r>
        <w:rPr>
          <w:rFonts w:ascii="Times New Roman" w:hAnsi="Times New Roman"/>
          <w:color w:val="0E101A"/>
          <w:sz w:val="24"/>
          <w:szCs w:val="24"/>
          <w:lang w:val="en-GB"/>
        </w:rPr>
        <w:t>financial</w:t>
      </w:r>
      <w:r w:rsidRPr="006350BD">
        <w:rPr>
          <w:rFonts w:ascii="Times New Roman" w:hAnsi="Times New Roman"/>
          <w:color w:val="0E101A"/>
          <w:sz w:val="24"/>
          <w:szCs w:val="24"/>
          <w:lang w:val="en-GB"/>
        </w:rPr>
        <w:t xml:space="preserve"> resources,</w:t>
      </w:r>
      <w:r w:rsidR="00D921D5">
        <w:rPr>
          <w:rFonts w:ascii="Times New Roman" w:hAnsi="Times New Roman"/>
          <w:color w:val="0E101A"/>
          <w:sz w:val="24"/>
          <w:szCs w:val="24"/>
          <w:lang w:val="en-GB"/>
        </w:rPr>
        <w:t xml:space="preserve"> the workload in teaching and clinical duties of academical staff,</w:t>
      </w:r>
      <w:r w:rsidRPr="006350BD">
        <w:rPr>
          <w:rFonts w:ascii="Times New Roman" w:hAnsi="Times New Roman"/>
          <w:color w:val="0E101A"/>
          <w:sz w:val="24"/>
          <w:szCs w:val="24"/>
          <w:lang w:val="en-GB"/>
        </w:rPr>
        <w:t xml:space="preserve"> the overall research output of the Medical faculties of CUNI is remarkable. There is a potential for improvement to match with benchmark universities</w:t>
      </w:r>
      <w:r w:rsidRPr="003A3BBE">
        <w:rPr>
          <w:rFonts w:ascii="Times New Roman" w:hAnsi="Times New Roman"/>
          <w:color w:val="0E101A"/>
          <w:lang w:val="en-GB"/>
        </w:rPr>
        <w:t>;</w:t>
      </w:r>
    </w:p>
    <w:p w14:paraId="0A4655E8" w14:textId="77777777"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Increase amount of institutional grants to allow long term strategic planing of research programs by financing postdocs and PhD's</w:t>
      </w:r>
    </w:p>
    <w:p w14:paraId="475A67AB" w14:textId="77777777"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Stimulate collaboration among the five faculties focusing on multi-center studies, i.e. RCT's</w:t>
      </w:r>
    </w:p>
    <w:p w14:paraId="4CB2EA08" w14:textId="6610769A" w:rsidR="00D34B56" w:rsidRPr="00CC0576" w:rsidRDefault="00D34B56" w:rsidP="00D34B56">
      <w:pPr>
        <w:numPr>
          <w:ilvl w:val="0"/>
          <w:numId w:val="5"/>
        </w:numPr>
        <w:spacing w:after="100" w:line="253" w:lineRule="atLeast"/>
        <w:rPr>
          <w:rFonts w:eastAsia="Times New Roman"/>
          <w:lang w:val="en-GB"/>
        </w:rPr>
      </w:pPr>
      <w:r w:rsidRPr="00CC0576">
        <w:rPr>
          <w:rFonts w:ascii="Times New Roman" w:eastAsia="Times New Roman" w:hAnsi="Times New Roman"/>
          <w:sz w:val="24"/>
          <w:szCs w:val="24"/>
          <w:lang w:val="en-GB"/>
        </w:rPr>
        <w:t>Introduce systematic training in research methods (study design, data analysis) and in writing grant applications and scientific publications for PhD students and junior members of staff</w:t>
      </w:r>
      <w:r w:rsidR="006D40B8">
        <w:rPr>
          <w:rFonts w:ascii="Times New Roman" w:eastAsia="Times New Roman" w:hAnsi="Times New Roman"/>
          <w:sz w:val="24"/>
          <w:szCs w:val="24"/>
          <w:lang w:val="en-GB"/>
        </w:rPr>
        <w:t xml:space="preserve"> to improve the quality of research</w:t>
      </w:r>
      <w:r w:rsidR="00CB7B57">
        <w:rPr>
          <w:rFonts w:ascii="Times New Roman" w:eastAsia="Times New Roman" w:hAnsi="Times New Roman"/>
          <w:sz w:val="24"/>
          <w:szCs w:val="24"/>
          <w:lang w:val="en-GB"/>
        </w:rPr>
        <w:t xml:space="preserve"> and publications</w:t>
      </w:r>
      <w:r w:rsidRPr="00CC0576">
        <w:rPr>
          <w:rFonts w:ascii="Times New Roman" w:eastAsia="Times New Roman" w:hAnsi="Times New Roman"/>
          <w:sz w:val="24"/>
          <w:szCs w:val="24"/>
          <w:lang w:val="en-GB"/>
        </w:rPr>
        <w:t>.</w:t>
      </w:r>
    </w:p>
    <w:p w14:paraId="7247E269" w14:textId="20A2DCDF" w:rsidR="00883590" w:rsidRPr="006350BD" w:rsidRDefault="00883590" w:rsidP="00883590">
      <w:pPr>
        <w:numPr>
          <w:ilvl w:val="0"/>
          <w:numId w:val="5"/>
        </w:numPr>
        <w:spacing w:after="0"/>
        <w:rPr>
          <w:rFonts w:ascii="Times New Roman" w:eastAsia="Times New Roman" w:hAnsi="Times New Roman"/>
          <w:color w:val="0E101A"/>
          <w:sz w:val="24"/>
          <w:szCs w:val="24"/>
          <w:lang w:val="en-GB"/>
        </w:rPr>
      </w:pPr>
      <w:r>
        <w:rPr>
          <w:rFonts w:ascii="Times New Roman" w:eastAsia="Times New Roman" w:hAnsi="Times New Roman"/>
          <w:color w:val="0E101A"/>
          <w:sz w:val="24"/>
          <w:szCs w:val="24"/>
          <w:lang w:val="en-GB"/>
        </w:rPr>
        <w:t>Stimulate and reward participation in international research activities and European projects</w:t>
      </w:r>
      <w:r w:rsidR="00CB7B57">
        <w:rPr>
          <w:rFonts w:ascii="Times New Roman" w:eastAsia="Times New Roman" w:hAnsi="Times New Roman"/>
          <w:color w:val="0E101A"/>
          <w:sz w:val="24"/>
          <w:szCs w:val="24"/>
          <w:lang w:val="en-GB"/>
        </w:rPr>
        <w:t xml:space="preserve"> with Czech scientists in leading positions</w:t>
      </w:r>
      <w:r>
        <w:rPr>
          <w:rFonts w:ascii="Times New Roman" w:eastAsia="Times New Roman" w:hAnsi="Times New Roman"/>
          <w:color w:val="0E101A"/>
          <w:sz w:val="24"/>
          <w:szCs w:val="24"/>
          <w:lang w:val="en-GB"/>
        </w:rPr>
        <w:t xml:space="preserve">. </w:t>
      </w:r>
    </w:p>
    <w:p w14:paraId="4AC5C770" w14:textId="77777777" w:rsidR="00883590" w:rsidRDefault="00883590" w:rsidP="00883590">
      <w:pPr>
        <w:numPr>
          <w:ilvl w:val="0"/>
          <w:numId w:val="5"/>
        </w:numPr>
        <w:spacing w:after="0"/>
        <w:rPr>
          <w:rFonts w:ascii="Times New Roman" w:eastAsia="Times New Roman" w:hAnsi="Times New Roman"/>
          <w:color w:val="0E101A"/>
          <w:sz w:val="24"/>
          <w:szCs w:val="24"/>
          <w:lang w:val="en-GB"/>
        </w:rPr>
      </w:pPr>
      <w:r w:rsidRPr="006350BD">
        <w:rPr>
          <w:rFonts w:ascii="Times New Roman" w:eastAsia="Times New Roman" w:hAnsi="Times New Roman"/>
          <w:color w:val="0E101A"/>
          <w:sz w:val="24"/>
          <w:szCs w:val="24"/>
          <w:lang w:val="en-GB"/>
        </w:rPr>
        <w:t>Award high quality publications in Top 10% AIS Journals. Quality above quantity</w:t>
      </w:r>
      <w:r>
        <w:rPr>
          <w:rFonts w:ascii="Times New Roman" w:eastAsia="Times New Roman" w:hAnsi="Times New Roman"/>
          <w:color w:val="0E101A"/>
          <w:sz w:val="24"/>
          <w:szCs w:val="24"/>
          <w:lang w:val="en-GB"/>
        </w:rPr>
        <w:t>.</w:t>
      </w:r>
    </w:p>
    <w:p w14:paraId="2080DFBE" w14:textId="77777777" w:rsidR="00883590" w:rsidRPr="006350BD" w:rsidRDefault="00883590" w:rsidP="00CB7B57">
      <w:pPr>
        <w:spacing w:after="0"/>
        <w:ind w:left="360"/>
        <w:rPr>
          <w:rFonts w:ascii="Times New Roman" w:eastAsia="Times New Roman" w:hAnsi="Times New Roman"/>
          <w:color w:val="0E101A"/>
          <w:sz w:val="24"/>
          <w:szCs w:val="24"/>
          <w:lang w:val="en-GB"/>
        </w:rPr>
      </w:pPr>
    </w:p>
    <w:p w14:paraId="0B143D84" w14:textId="77777777" w:rsidR="00883590" w:rsidRPr="006350BD" w:rsidRDefault="00883590" w:rsidP="00883590">
      <w:pPr>
        <w:rPr>
          <w:rFonts w:ascii="Times New Roman" w:hAnsi="Times New Roman"/>
          <w:color w:val="0E101A"/>
          <w:sz w:val="24"/>
          <w:szCs w:val="24"/>
          <w:lang w:val="en-GB"/>
        </w:rPr>
      </w:pPr>
      <w:r w:rsidRPr="006350BD">
        <w:rPr>
          <w:rFonts w:ascii="Times New Roman" w:hAnsi="Times New Roman"/>
          <w:color w:val="0E101A"/>
          <w:sz w:val="24"/>
          <w:szCs w:val="24"/>
          <w:lang w:val="en-GB"/>
        </w:rPr>
        <w:t>The system of five Medical Faculties in one University is unusual</w:t>
      </w:r>
      <w:r>
        <w:rPr>
          <w:rFonts w:ascii="Times New Roman" w:hAnsi="Times New Roman"/>
          <w:color w:val="0E101A"/>
          <w:sz w:val="24"/>
          <w:szCs w:val="24"/>
          <w:lang w:val="en-GB"/>
        </w:rPr>
        <w:t xml:space="preserve"> and unique</w:t>
      </w:r>
      <w:r w:rsidRPr="006350BD">
        <w:rPr>
          <w:rFonts w:ascii="Times New Roman" w:hAnsi="Times New Roman"/>
          <w:color w:val="0E101A"/>
          <w:sz w:val="24"/>
          <w:szCs w:val="24"/>
          <w:lang w:val="en-GB"/>
        </w:rPr>
        <w:t xml:space="preserve">. </w:t>
      </w:r>
      <w:r>
        <w:rPr>
          <w:rFonts w:ascii="Times New Roman" w:hAnsi="Times New Roman"/>
          <w:color w:val="0E101A"/>
          <w:sz w:val="24"/>
          <w:szCs w:val="24"/>
          <w:lang w:val="en-GB"/>
        </w:rPr>
        <w:t xml:space="preserve">Advantages of this system include the ability to pool resources and patient populations, as in the Prague Trials.  Disadvantages include the difficulties of organization of long-term research.  </w:t>
      </w:r>
      <w:r w:rsidRPr="006350BD">
        <w:rPr>
          <w:rFonts w:ascii="Times New Roman" w:hAnsi="Times New Roman"/>
          <w:color w:val="0E101A"/>
          <w:sz w:val="24"/>
          <w:szCs w:val="24"/>
          <w:lang w:val="en-GB"/>
        </w:rPr>
        <w:t>For long term research</w:t>
      </w:r>
      <w:r>
        <w:rPr>
          <w:rFonts w:ascii="Times New Roman" w:hAnsi="Times New Roman"/>
          <w:color w:val="0E101A"/>
          <w:sz w:val="24"/>
          <w:szCs w:val="24"/>
          <w:lang w:val="en-GB"/>
        </w:rPr>
        <w:t xml:space="preserve"> </w:t>
      </w:r>
      <w:r w:rsidRPr="006350BD">
        <w:rPr>
          <w:rFonts w:ascii="Times New Roman" w:hAnsi="Times New Roman"/>
          <w:color w:val="0E101A"/>
          <w:sz w:val="24"/>
          <w:szCs w:val="24"/>
          <w:lang w:val="en-GB"/>
        </w:rPr>
        <w:t>strategy it is questionable if this system is justifiable. </w:t>
      </w:r>
      <w:r>
        <w:rPr>
          <w:rFonts w:ascii="Times New Roman" w:hAnsi="Times New Roman"/>
          <w:color w:val="0E101A"/>
          <w:sz w:val="24"/>
          <w:szCs w:val="24"/>
          <w:lang w:val="en-GB"/>
        </w:rPr>
        <w:t>One Research Advisory Board for all five faculties might be more efficient.</w:t>
      </w:r>
    </w:p>
    <w:p w14:paraId="22889AFD" w14:textId="25132528" w:rsidR="00883590" w:rsidRDefault="00883590" w:rsidP="00883590">
      <w:pPr>
        <w:rPr>
          <w:rFonts w:ascii="Times New Roman" w:hAnsi="Times New Roman"/>
          <w:color w:val="0E101A"/>
          <w:sz w:val="24"/>
          <w:szCs w:val="24"/>
          <w:lang w:val="en-GB"/>
        </w:rPr>
      </w:pPr>
      <w:r w:rsidRPr="006350BD">
        <w:rPr>
          <w:rFonts w:ascii="Times New Roman" w:hAnsi="Times New Roman"/>
          <w:color w:val="0E101A"/>
          <w:sz w:val="24"/>
          <w:szCs w:val="24"/>
          <w:lang w:val="en-GB"/>
        </w:rPr>
        <w:t>For future assessment</w:t>
      </w:r>
      <w:r w:rsidR="00CB7B57">
        <w:rPr>
          <w:rFonts w:ascii="Times New Roman" w:hAnsi="Times New Roman"/>
          <w:color w:val="0E101A"/>
          <w:sz w:val="24"/>
          <w:szCs w:val="24"/>
          <w:lang w:val="en-GB"/>
        </w:rPr>
        <w:t xml:space="preserve"> of the output</w:t>
      </w:r>
      <w:r w:rsidRPr="006350BD">
        <w:rPr>
          <w:rFonts w:ascii="Times New Roman" w:hAnsi="Times New Roman"/>
          <w:color w:val="0E101A"/>
          <w:sz w:val="24"/>
          <w:szCs w:val="24"/>
          <w:lang w:val="en-GB"/>
        </w:rPr>
        <w:t xml:space="preserve"> the WoS categories should be used</w:t>
      </w:r>
      <w:r w:rsidR="00CB7B57">
        <w:rPr>
          <w:rFonts w:ascii="Times New Roman" w:hAnsi="Times New Roman"/>
          <w:color w:val="0E101A"/>
          <w:sz w:val="24"/>
          <w:szCs w:val="24"/>
          <w:lang w:val="en-GB"/>
        </w:rPr>
        <w:t xml:space="preserve"> for Bibliometric support</w:t>
      </w:r>
      <w:r w:rsidRPr="006350BD">
        <w:rPr>
          <w:rFonts w:ascii="Times New Roman" w:hAnsi="Times New Roman"/>
          <w:color w:val="0E101A"/>
          <w:sz w:val="24"/>
          <w:szCs w:val="24"/>
          <w:lang w:val="en-GB"/>
        </w:rPr>
        <w:t xml:space="preserve"> to allow comparison with any University. The self-assignment create confusions</w:t>
      </w:r>
      <w:r w:rsidR="00CB7B57">
        <w:rPr>
          <w:rFonts w:ascii="Times New Roman" w:hAnsi="Times New Roman"/>
          <w:color w:val="0E101A"/>
          <w:sz w:val="24"/>
          <w:szCs w:val="24"/>
          <w:lang w:val="en-GB"/>
        </w:rPr>
        <w:t xml:space="preserve"> (WoS, FORD, CUNI)</w:t>
      </w:r>
    </w:p>
    <w:p w14:paraId="6DAEB1ED" w14:textId="77777777" w:rsidR="00883590" w:rsidRDefault="00883590" w:rsidP="00883590">
      <w:pPr>
        <w:rPr>
          <w:rFonts w:ascii="Times New Roman" w:hAnsi="Times New Roman"/>
          <w:color w:val="0E101A"/>
          <w:sz w:val="24"/>
          <w:szCs w:val="24"/>
          <w:lang w:val="en-GB"/>
        </w:rPr>
      </w:pPr>
    </w:p>
    <w:p w14:paraId="61ECBF04" w14:textId="77777777" w:rsidR="00883590" w:rsidRPr="006350BD" w:rsidRDefault="00883590" w:rsidP="00883590">
      <w:pPr>
        <w:rPr>
          <w:rFonts w:ascii="Times New Roman" w:hAnsi="Times New Roman"/>
          <w:color w:val="0E101A"/>
          <w:sz w:val="24"/>
          <w:szCs w:val="24"/>
          <w:lang w:val="en-GB"/>
        </w:rPr>
      </w:pPr>
      <w:r>
        <w:rPr>
          <w:rFonts w:ascii="Times New Roman" w:hAnsi="Times New Roman"/>
          <w:color w:val="0E101A"/>
          <w:sz w:val="24"/>
          <w:szCs w:val="24"/>
          <w:lang w:val="en-GB"/>
        </w:rPr>
        <w:t>Additional recommendations</w:t>
      </w:r>
    </w:p>
    <w:p w14:paraId="5268E846"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eastAsia="Times New Roman" w:hAnsi="Times New Roman"/>
          <w:sz w:val="24"/>
          <w:szCs w:val="24"/>
          <w:lang w:val="en-GB" w:eastAsia="cs-CZ"/>
        </w:rPr>
        <w:t>The Panel</w:t>
      </w:r>
      <w:r>
        <w:rPr>
          <w:rFonts w:ascii="Times New Roman" w:hAnsi="Times New Roman"/>
          <w:color w:val="0E101A"/>
          <w:sz w:val="24"/>
          <w:szCs w:val="24"/>
          <w:lang w:val="en-GB"/>
        </w:rPr>
        <w:t xml:space="preserve"> did not evaluate participation in studies funded by pharmaceutical companies, but increased collaboration with industry has the following advantages:</w:t>
      </w:r>
    </w:p>
    <w:p w14:paraId="1DA3ADE2"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Increased exposure to new medications and technologies</w:t>
      </w:r>
    </w:p>
    <w:p w14:paraId="2B527285"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lastRenderedPageBreak/>
        <w:t>Collaboration in multi-center clinical trials</w:t>
      </w:r>
    </w:p>
    <w:p w14:paraId="150033BB"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Exposure to academic leaders in various fields</w:t>
      </w:r>
    </w:p>
    <w:p w14:paraId="43CD577D"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Financial gain that can be recycled into personnel costs and research.</w:t>
      </w:r>
    </w:p>
    <w:p w14:paraId="37A225FC" w14:textId="77777777" w:rsidR="00883590" w:rsidRDefault="00883590" w:rsidP="00883590">
      <w:pPr>
        <w:ind w:left="1080"/>
        <w:rPr>
          <w:rFonts w:ascii="Times New Roman" w:hAnsi="Times New Roman"/>
          <w:color w:val="0E101A"/>
          <w:sz w:val="24"/>
          <w:szCs w:val="24"/>
          <w:lang w:val="en-GB"/>
        </w:rPr>
      </w:pPr>
      <w:r>
        <w:rPr>
          <w:rFonts w:ascii="Times New Roman" w:hAnsi="Times New Roman"/>
          <w:color w:val="0E101A"/>
          <w:sz w:val="24"/>
          <w:szCs w:val="24"/>
          <w:lang w:val="en-GB"/>
        </w:rPr>
        <w:t>It is important that the university adopts rules that makes participation in clinical trials financially worthwhile for investigators in terms of either supporting their salary or their research.  Each faculty should have an office that alleviates the burden of initiating and performing clinical trials.  As funding by governments decreases, industry funding becomes increasingly important.</w:t>
      </w:r>
    </w:p>
    <w:p w14:paraId="62980AA3"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Speaking Czech as a primary language and historically having limited English education leads to difficulties in publishing and submitting grants in English.  Faculties should have ample resources available for teaching English as well as assistance in translation for manuscripts and grants.</w:t>
      </w:r>
    </w:p>
    <w:p w14:paraId="7DDD0419" w14:textId="77777777" w:rsidR="00883590" w:rsidRDefault="00883590" w:rsidP="00883590">
      <w:pPr>
        <w:pStyle w:val="Odstavecseseznamem"/>
        <w:numPr>
          <w:ilvl w:val="0"/>
          <w:numId w:val="6"/>
        </w:numPr>
        <w:rPr>
          <w:rFonts w:ascii="Times New Roman" w:hAnsi="Times New Roman"/>
          <w:color w:val="0E101A"/>
          <w:sz w:val="24"/>
          <w:szCs w:val="24"/>
          <w:lang w:val="en-GB"/>
        </w:rPr>
      </w:pPr>
      <w:r>
        <w:rPr>
          <w:rFonts w:ascii="Times New Roman" w:hAnsi="Times New Roman"/>
          <w:color w:val="0E101A"/>
          <w:sz w:val="24"/>
          <w:szCs w:val="24"/>
          <w:lang w:val="en-GB"/>
        </w:rPr>
        <w:t>Increasing the international prestige is dependent on the quality of work produced but also on the perception of others.  The university should consider a formal approach to this issue.  Possible methods to increase international recognition would include:</w:t>
      </w:r>
    </w:p>
    <w:p w14:paraId="22F34113"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 xml:space="preserve">Holding international conferences, perhaps with sponsoring from the government or pharmaceutical companies..  The university should leverage this to help improve its international recognition.  </w:t>
      </w:r>
    </w:p>
    <w:p w14:paraId="69143178"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Branding of clinical trials such as the Prague trials would be extremely helpful.</w:t>
      </w:r>
    </w:p>
    <w:p w14:paraId="46BAB1F1" w14:textId="77777777" w:rsidR="00883590"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Regular invitation of thought leaders in various areas to improve relationships and lead to networking and opportunities.  Visiting professorships that are standardized and strategically planned to improve collaborations.</w:t>
      </w:r>
    </w:p>
    <w:p w14:paraId="0349533B" w14:textId="77777777" w:rsidR="00883590" w:rsidRPr="00EE320A" w:rsidRDefault="00883590" w:rsidP="00883590">
      <w:pPr>
        <w:pStyle w:val="Odstavecseseznamem"/>
        <w:numPr>
          <w:ilvl w:val="1"/>
          <w:numId w:val="6"/>
        </w:numPr>
        <w:rPr>
          <w:rFonts w:ascii="Times New Roman" w:hAnsi="Times New Roman"/>
          <w:color w:val="0E101A"/>
          <w:sz w:val="24"/>
          <w:szCs w:val="24"/>
          <w:lang w:val="en-GB"/>
        </w:rPr>
      </w:pPr>
      <w:r>
        <w:rPr>
          <w:rFonts w:ascii="Times New Roman" w:hAnsi="Times New Roman"/>
          <w:color w:val="0E101A"/>
          <w:sz w:val="24"/>
          <w:szCs w:val="24"/>
          <w:lang w:val="en-GB"/>
        </w:rPr>
        <w:t>Consider forming a board of advisors for Medicine with representatives from leading European universities to learn what is new in these universities and enhance collaboration and networking.</w:t>
      </w:r>
    </w:p>
    <w:p w14:paraId="0B4C0E78" w14:textId="77777777" w:rsidR="00883590" w:rsidRDefault="00883590" w:rsidP="00883590">
      <w:pPr>
        <w:pStyle w:val="Odstavecseseznamem"/>
        <w:spacing w:after="0" w:line="360" w:lineRule="auto"/>
        <w:ind w:right="93"/>
        <w:jc w:val="both"/>
        <w:rPr>
          <w:rFonts w:ascii="Times New Roman" w:hAnsi="Times New Roman"/>
          <w:b/>
          <w:bCs/>
          <w:sz w:val="24"/>
          <w:szCs w:val="24"/>
          <w:lang w:val="en-GB"/>
        </w:rPr>
      </w:pPr>
    </w:p>
    <w:p w14:paraId="7FD3CAE9" w14:textId="77777777" w:rsidR="00883590" w:rsidRPr="00C9780C" w:rsidRDefault="00883590" w:rsidP="00883590">
      <w:pPr>
        <w:pStyle w:val="Odstavecseseznamem"/>
        <w:spacing w:after="0" w:line="360" w:lineRule="auto"/>
        <w:ind w:right="93"/>
        <w:jc w:val="both"/>
        <w:rPr>
          <w:rFonts w:ascii="Times New Roman" w:hAnsi="Times New Roman"/>
          <w:b/>
          <w:bCs/>
          <w:sz w:val="24"/>
          <w:szCs w:val="24"/>
          <w:lang w:val="en-GB"/>
        </w:rPr>
      </w:pPr>
    </w:p>
    <w:p w14:paraId="5EA4B440" w14:textId="77777777" w:rsidR="009A6BE3" w:rsidRPr="00AC72BF" w:rsidRDefault="009A6BE3" w:rsidP="003672BA">
      <w:pPr>
        <w:spacing w:after="0" w:line="360" w:lineRule="auto"/>
        <w:ind w:left="357" w:right="93"/>
        <w:jc w:val="both"/>
        <w:rPr>
          <w:rFonts w:ascii="Times New Roman" w:hAnsi="Times New Roman"/>
          <w:b/>
          <w:bCs/>
          <w:sz w:val="24"/>
          <w:szCs w:val="24"/>
          <w:lang w:val="en-GB"/>
        </w:rPr>
      </w:pPr>
    </w:p>
    <w:p w14:paraId="0B7264E4" w14:textId="2E226F4A" w:rsidR="006350BD" w:rsidRPr="006350BD" w:rsidRDefault="006350BD" w:rsidP="003672BA">
      <w:pPr>
        <w:spacing w:before="100" w:beforeAutospacing="1" w:after="100" w:afterAutospacing="1" w:line="360" w:lineRule="auto"/>
        <w:ind w:right="93"/>
        <w:jc w:val="both"/>
        <w:rPr>
          <w:rFonts w:ascii="Times New Roman" w:eastAsia="Times New Roman" w:hAnsi="Times New Roman"/>
          <w:sz w:val="24"/>
          <w:szCs w:val="24"/>
          <w:lang w:val="en-GB" w:eastAsia="cs-CZ"/>
        </w:rPr>
      </w:pPr>
    </w:p>
    <w:sectPr w:rsidR="006350BD" w:rsidRPr="006350BD" w:rsidSect="00011ABA">
      <w:footerReference w:type="default" r:id="rId45"/>
      <w:pgSz w:w="16820" w:h="11900" w:orient="landscape"/>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E3F4B" w14:textId="77777777" w:rsidR="00D724C9" w:rsidRDefault="00D724C9" w:rsidP="00E56046">
      <w:pPr>
        <w:spacing w:after="0" w:line="240" w:lineRule="auto"/>
      </w:pPr>
      <w:r>
        <w:separator/>
      </w:r>
    </w:p>
  </w:endnote>
  <w:endnote w:type="continuationSeparator" w:id="0">
    <w:p w14:paraId="3C3961E7" w14:textId="77777777" w:rsidR="00D724C9" w:rsidRDefault="00D724C9" w:rsidP="00E56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30204"/>
    <w:charset w:val="EE"/>
    <w:family w:val="swiss"/>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90E66" w14:textId="570E108D" w:rsidR="002D5FC7" w:rsidRPr="00CD007C" w:rsidRDefault="002D5FC7" w:rsidP="00CD007C">
    <w:pPr>
      <w:pStyle w:val="Zpat"/>
      <w:jc w:val="center"/>
      <w:rPr>
        <w:rFonts w:ascii="Cambria" w:hAnsi="Cambria" w:cs="Arial"/>
        <w:sz w:val="20"/>
        <w:szCs w:val="20"/>
      </w:rPr>
    </w:pPr>
    <w:r w:rsidRPr="00CD007C">
      <w:rPr>
        <w:rFonts w:ascii="Cambria" w:hAnsi="Cambria" w:cs="Arial"/>
        <w:sz w:val="20"/>
        <w:szCs w:val="20"/>
      </w:rPr>
      <w:fldChar w:fldCharType="begin"/>
    </w:r>
    <w:r w:rsidRPr="00CD007C">
      <w:rPr>
        <w:rFonts w:ascii="Cambria" w:hAnsi="Cambria" w:cs="Arial"/>
        <w:sz w:val="20"/>
        <w:szCs w:val="20"/>
      </w:rPr>
      <w:instrText>PAGE   \* MERGEFORMAT</w:instrText>
    </w:r>
    <w:r w:rsidRPr="00CD007C">
      <w:rPr>
        <w:rFonts w:ascii="Cambria" w:hAnsi="Cambria" w:cs="Arial"/>
        <w:sz w:val="20"/>
        <w:szCs w:val="20"/>
      </w:rPr>
      <w:fldChar w:fldCharType="separate"/>
    </w:r>
    <w:r w:rsidR="00214EB8">
      <w:rPr>
        <w:rFonts w:ascii="Cambria" w:hAnsi="Cambria" w:cs="Arial"/>
        <w:noProof/>
        <w:sz w:val="20"/>
        <w:szCs w:val="20"/>
      </w:rPr>
      <w:t>4</w:t>
    </w:r>
    <w:r w:rsidRPr="00CD007C">
      <w:rPr>
        <w:rFonts w:ascii="Cambria" w:hAnsi="Cambria"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BAC41" w14:textId="77777777" w:rsidR="00D724C9" w:rsidRDefault="00D724C9" w:rsidP="00E56046">
      <w:pPr>
        <w:spacing w:after="0" w:line="240" w:lineRule="auto"/>
      </w:pPr>
      <w:r>
        <w:separator/>
      </w:r>
    </w:p>
  </w:footnote>
  <w:footnote w:type="continuationSeparator" w:id="0">
    <w:p w14:paraId="3841CA20" w14:textId="77777777" w:rsidR="00D724C9" w:rsidRDefault="00D724C9" w:rsidP="00E56046">
      <w:pPr>
        <w:spacing w:after="0" w:line="240" w:lineRule="auto"/>
      </w:pPr>
      <w:r>
        <w:continuationSeparator/>
      </w:r>
    </w:p>
  </w:footnote>
  <w:footnote w:id="1">
    <w:p w14:paraId="3BFFB152" w14:textId="77777777" w:rsidR="002D5FC7" w:rsidRPr="00E96B86" w:rsidRDefault="002D5FC7" w:rsidP="00F15926">
      <w:pPr>
        <w:autoSpaceDE w:val="0"/>
        <w:autoSpaceDN w:val="0"/>
        <w:adjustRightInd w:val="0"/>
        <w:spacing w:after="0" w:line="240" w:lineRule="auto"/>
        <w:rPr>
          <w:rFonts w:ascii="Arial" w:hAnsi="Arial" w:cs="Arial"/>
          <w:sz w:val="16"/>
          <w:szCs w:val="16"/>
          <w:lang w:val="de-DE"/>
        </w:rPr>
      </w:pPr>
      <w:r w:rsidRPr="00E96B86">
        <w:rPr>
          <w:rStyle w:val="Znakapoznpodarou"/>
          <w:rFonts w:ascii="Arial" w:hAnsi="Arial" w:cs="Arial"/>
          <w:sz w:val="16"/>
          <w:szCs w:val="16"/>
        </w:rPr>
        <w:footnoteRef/>
      </w:r>
      <w:r w:rsidRPr="00E96B86">
        <w:rPr>
          <w:rFonts w:ascii="Arial" w:hAnsi="Arial" w:cs="Arial"/>
          <w:sz w:val="16"/>
          <w:szCs w:val="16"/>
        </w:rPr>
        <w:t xml:space="preserve"> </w:t>
      </w:r>
      <w:r w:rsidRPr="00E96B86">
        <w:rPr>
          <w:rFonts w:ascii="Arial" w:hAnsi="Arial" w:cs="Arial"/>
          <w:sz w:val="16"/>
          <w:szCs w:val="16"/>
          <w:lang w:val="de-DE"/>
        </w:rPr>
        <w:t>Petr Widimsky, Ales Linhart, Josef Veselka, Richard Rokyta, and</w:t>
      </w:r>
      <w:r>
        <w:rPr>
          <w:rFonts w:ascii="Arial" w:hAnsi="Arial" w:cs="Arial"/>
          <w:sz w:val="16"/>
          <w:szCs w:val="16"/>
          <w:lang w:val="de-DE"/>
        </w:rPr>
        <w:t xml:space="preserve"> </w:t>
      </w:r>
      <w:r w:rsidRPr="00E96B86">
        <w:rPr>
          <w:rFonts w:ascii="Arial" w:hAnsi="Arial" w:cs="Arial"/>
          <w:sz w:val="16"/>
          <w:szCs w:val="16"/>
          <w:lang w:val="de-DE"/>
        </w:rPr>
        <w:t>Josef Stasek</w:t>
      </w:r>
      <w:r>
        <w:rPr>
          <w:rFonts w:ascii="Arial" w:hAnsi="Arial" w:cs="Arial"/>
          <w:sz w:val="16"/>
          <w:szCs w:val="16"/>
          <w:lang w:val="de-DE"/>
        </w:rPr>
        <w:t>.</w:t>
      </w:r>
      <w:r w:rsidRPr="00E96B86">
        <w:rPr>
          <w:rFonts w:ascii="Arial" w:hAnsi="Arial" w:cs="Arial"/>
          <w:sz w:val="16"/>
          <w:szCs w:val="16"/>
          <w:lang w:val="de-DE"/>
        </w:rPr>
        <w:t xml:space="preserve"> Current cardiovascular research at the Charles</w:t>
      </w:r>
      <w:r>
        <w:rPr>
          <w:rFonts w:ascii="Arial" w:hAnsi="Arial" w:cs="Arial"/>
          <w:sz w:val="16"/>
          <w:szCs w:val="16"/>
          <w:lang w:val="de-DE"/>
        </w:rPr>
        <w:t xml:space="preserve"> </w:t>
      </w:r>
      <w:r w:rsidRPr="00E96B86">
        <w:rPr>
          <w:rFonts w:ascii="Arial" w:hAnsi="Arial" w:cs="Arial"/>
          <w:sz w:val="16"/>
          <w:szCs w:val="16"/>
          <w:lang w:val="de-DE"/>
        </w:rPr>
        <w:t xml:space="preserve">University: </w:t>
      </w:r>
      <w:r>
        <w:rPr>
          <w:rFonts w:ascii="Arial" w:hAnsi="Arial" w:cs="Arial"/>
          <w:sz w:val="16"/>
          <w:szCs w:val="16"/>
          <w:lang w:val="de-DE"/>
        </w:rPr>
        <w:t>T</w:t>
      </w:r>
      <w:r w:rsidRPr="00E96B86">
        <w:rPr>
          <w:rFonts w:ascii="Arial" w:hAnsi="Arial" w:cs="Arial"/>
          <w:sz w:val="16"/>
          <w:szCs w:val="16"/>
          <w:lang w:val="de-DE"/>
        </w:rPr>
        <w:t>he ‘PRAGUE’ trials and beyond</w:t>
      </w:r>
      <w:r>
        <w:rPr>
          <w:rFonts w:ascii="Arial" w:hAnsi="Arial" w:cs="Arial"/>
          <w:sz w:val="16"/>
          <w:szCs w:val="16"/>
          <w:lang w:val="de-DE"/>
        </w:rPr>
        <w:t>.</w:t>
      </w:r>
      <w:r w:rsidRPr="00E96B86">
        <w:rPr>
          <w:rFonts w:ascii="Arial" w:hAnsi="Arial" w:cs="Arial"/>
          <w:sz w:val="16"/>
          <w:szCs w:val="16"/>
          <w:lang w:val="de-DE"/>
        </w:rPr>
        <w:t xml:space="preserve"> Eur</w:t>
      </w:r>
      <w:r>
        <w:rPr>
          <w:rFonts w:ascii="Arial" w:hAnsi="Arial" w:cs="Arial"/>
          <w:sz w:val="16"/>
          <w:szCs w:val="16"/>
          <w:lang w:val="de-DE"/>
        </w:rPr>
        <w:t>.</w:t>
      </w:r>
      <w:r w:rsidRPr="00E96B86">
        <w:rPr>
          <w:rFonts w:ascii="Arial" w:hAnsi="Arial" w:cs="Arial"/>
          <w:sz w:val="16"/>
          <w:szCs w:val="16"/>
          <w:lang w:val="de-DE"/>
        </w:rPr>
        <w:t xml:space="preserve"> Heart J</w:t>
      </w:r>
      <w:r>
        <w:rPr>
          <w:rFonts w:ascii="Arial" w:hAnsi="Arial" w:cs="Arial"/>
          <w:sz w:val="16"/>
          <w:szCs w:val="16"/>
          <w:lang w:val="de-DE"/>
        </w:rPr>
        <w:t>.</w:t>
      </w:r>
      <w:r w:rsidRPr="00E96B86">
        <w:rPr>
          <w:rFonts w:ascii="Arial" w:hAnsi="Arial" w:cs="Arial"/>
          <w:sz w:val="16"/>
          <w:szCs w:val="16"/>
          <w:lang w:val="de-DE"/>
        </w:rPr>
        <w:t xml:space="preserve"> Su</w:t>
      </w:r>
      <w:r>
        <w:rPr>
          <w:rFonts w:ascii="Arial" w:hAnsi="Arial" w:cs="Arial"/>
          <w:sz w:val="16"/>
          <w:szCs w:val="16"/>
          <w:lang w:val="de-DE"/>
        </w:rPr>
        <w:t xml:space="preserve">ppl. </w:t>
      </w:r>
      <w:r w:rsidRPr="00E96B86">
        <w:rPr>
          <w:rFonts w:ascii="Arial" w:hAnsi="Arial" w:cs="Arial"/>
          <w:sz w:val="16"/>
          <w:szCs w:val="16"/>
          <w:lang w:val="de-DE"/>
        </w:rPr>
        <w:t>2020</w:t>
      </w:r>
      <w:r>
        <w:rPr>
          <w:rFonts w:ascii="Arial" w:hAnsi="Arial" w:cs="Arial"/>
          <w:sz w:val="16"/>
          <w:szCs w:val="16"/>
          <w:lang w:val="de-DE"/>
        </w:rPr>
        <w:t>;</w:t>
      </w:r>
      <w:r w:rsidRPr="00E96B86">
        <w:rPr>
          <w:rFonts w:ascii="Arial" w:hAnsi="Arial" w:cs="Arial"/>
          <w:sz w:val="16"/>
          <w:szCs w:val="16"/>
          <w:lang w:val="de-DE"/>
        </w:rPr>
        <w:t xml:space="preserve"> 00, 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F6902"/>
    <w:multiLevelType w:val="hybridMultilevel"/>
    <w:tmpl w:val="3770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442B7"/>
    <w:multiLevelType w:val="multilevel"/>
    <w:tmpl w:val="6692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B5A20"/>
    <w:multiLevelType w:val="hybridMultilevel"/>
    <w:tmpl w:val="8AF09F56"/>
    <w:lvl w:ilvl="0" w:tplc="5610361A">
      <w:start w:val="1"/>
      <w:numFmt w:val="upperLetter"/>
      <w:lvlText w:val="%1."/>
      <w:lvlJc w:val="left"/>
      <w:pPr>
        <w:ind w:left="360" w:hanging="360"/>
      </w:pPr>
      <w:rPr>
        <w:rFonts w:hint="default"/>
        <w:b/>
      </w:rPr>
    </w:lvl>
    <w:lvl w:ilvl="1" w:tplc="0405000F">
      <w:start w:val="1"/>
      <w:numFmt w:val="decimal"/>
      <w:lvlText w:val="%2."/>
      <w:lvlJc w:val="left"/>
      <w:pPr>
        <w:ind w:left="1494" w:hanging="360"/>
      </w:pPr>
      <w:rPr>
        <w:rFont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2DAB2C3F"/>
    <w:multiLevelType w:val="hybridMultilevel"/>
    <w:tmpl w:val="67BC200A"/>
    <w:lvl w:ilvl="0" w:tplc="0809000F">
      <w:start w:val="1"/>
      <w:numFmt w:val="decimal"/>
      <w:lvlText w:val="%1."/>
      <w:lvlJc w:val="left"/>
      <w:pPr>
        <w:ind w:left="360" w:hanging="360"/>
      </w:pPr>
      <w:rPr>
        <w:rFonts w:hint="default"/>
        <w:b/>
      </w:rPr>
    </w:lvl>
    <w:lvl w:ilvl="1" w:tplc="0405000F">
      <w:start w:val="1"/>
      <w:numFmt w:val="decimal"/>
      <w:lvlText w:val="%2."/>
      <w:lvlJc w:val="left"/>
      <w:pPr>
        <w:ind w:left="1494" w:hanging="360"/>
      </w:pPr>
      <w:rPr>
        <w:rFonts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39216E22"/>
    <w:multiLevelType w:val="hybridMultilevel"/>
    <w:tmpl w:val="03CA9D3A"/>
    <w:lvl w:ilvl="0" w:tplc="04090015">
      <w:start w:val="7"/>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58651B"/>
    <w:multiLevelType w:val="multilevel"/>
    <w:tmpl w:val="1574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4E184F"/>
    <w:multiLevelType w:val="hybridMultilevel"/>
    <w:tmpl w:val="93F4A3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 w:numId="6">
    <w:abstractNumId w:val="6"/>
  </w:num>
  <w:num w:numId="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A0MjU0MTO0tDQ0NbFU0lEKTi0uzszPAykwrAUAUu9ICywAAAA="/>
  </w:docVars>
  <w:rsids>
    <w:rsidRoot w:val="00E56046"/>
    <w:rsid w:val="000002AB"/>
    <w:rsid w:val="00001EF2"/>
    <w:rsid w:val="00005CDC"/>
    <w:rsid w:val="00005F47"/>
    <w:rsid w:val="000068F3"/>
    <w:rsid w:val="00011ABA"/>
    <w:rsid w:val="00015593"/>
    <w:rsid w:val="00022FB4"/>
    <w:rsid w:val="0002616E"/>
    <w:rsid w:val="00033074"/>
    <w:rsid w:val="00036DD7"/>
    <w:rsid w:val="000371AA"/>
    <w:rsid w:val="0003764F"/>
    <w:rsid w:val="00045D24"/>
    <w:rsid w:val="000557AA"/>
    <w:rsid w:val="000559CF"/>
    <w:rsid w:val="0005684E"/>
    <w:rsid w:val="00056EA4"/>
    <w:rsid w:val="000608FF"/>
    <w:rsid w:val="00062873"/>
    <w:rsid w:val="000633D4"/>
    <w:rsid w:val="00065282"/>
    <w:rsid w:val="00065AE5"/>
    <w:rsid w:val="0006692C"/>
    <w:rsid w:val="00072C08"/>
    <w:rsid w:val="00074F14"/>
    <w:rsid w:val="00075066"/>
    <w:rsid w:val="00080665"/>
    <w:rsid w:val="00081B2E"/>
    <w:rsid w:val="000855D3"/>
    <w:rsid w:val="000955D7"/>
    <w:rsid w:val="000966A8"/>
    <w:rsid w:val="000A190E"/>
    <w:rsid w:val="000A2452"/>
    <w:rsid w:val="000A4145"/>
    <w:rsid w:val="000A4AE6"/>
    <w:rsid w:val="000A5285"/>
    <w:rsid w:val="000A646C"/>
    <w:rsid w:val="000A7669"/>
    <w:rsid w:val="000B1947"/>
    <w:rsid w:val="000B2BE6"/>
    <w:rsid w:val="000C27BA"/>
    <w:rsid w:val="000C744C"/>
    <w:rsid w:val="000D082D"/>
    <w:rsid w:val="000D7A46"/>
    <w:rsid w:val="000E25B6"/>
    <w:rsid w:val="000F054F"/>
    <w:rsid w:val="000F0BFA"/>
    <w:rsid w:val="000F1523"/>
    <w:rsid w:val="000F3325"/>
    <w:rsid w:val="000F3D57"/>
    <w:rsid w:val="000F534F"/>
    <w:rsid w:val="000F6C1A"/>
    <w:rsid w:val="000F7171"/>
    <w:rsid w:val="00100ABE"/>
    <w:rsid w:val="00103D7A"/>
    <w:rsid w:val="0011273F"/>
    <w:rsid w:val="0011481E"/>
    <w:rsid w:val="001222C6"/>
    <w:rsid w:val="00132B5A"/>
    <w:rsid w:val="00132ED7"/>
    <w:rsid w:val="00133905"/>
    <w:rsid w:val="00133BA3"/>
    <w:rsid w:val="00134467"/>
    <w:rsid w:val="00134EEB"/>
    <w:rsid w:val="0013531C"/>
    <w:rsid w:val="00142FFB"/>
    <w:rsid w:val="00145B7E"/>
    <w:rsid w:val="00146CA4"/>
    <w:rsid w:val="0015014C"/>
    <w:rsid w:val="00155A3F"/>
    <w:rsid w:val="001608E4"/>
    <w:rsid w:val="00162DC7"/>
    <w:rsid w:val="0016439E"/>
    <w:rsid w:val="00164EAE"/>
    <w:rsid w:val="001650B2"/>
    <w:rsid w:val="00180D7B"/>
    <w:rsid w:val="00181610"/>
    <w:rsid w:val="001861B9"/>
    <w:rsid w:val="00187FB3"/>
    <w:rsid w:val="001915DE"/>
    <w:rsid w:val="0019165E"/>
    <w:rsid w:val="00192D10"/>
    <w:rsid w:val="00193F43"/>
    <w:rsid w:val="00195C5F"/>
    <w:rsid w:val="00196727"/>
    <w:rsid w:val="001970BB"/>
    <w:rsid w:val="001974BD"/>
    <w:rsid w:val="001A232B"/>
    <w:rsid w:val="001A3083"/>
    <w:rsid w:val="001A4B78"/>
    <w:rsid w:val="001B0FE9"/>
    <w:rsid w:val="001B4CB5"/>
    <w:rsid w:val="001B6094"/>
    <w:rsid w:val="001B6E2C"/>
    <w:rsid w:val="001C0003"/>
    <w:rsid w:val="001C7343"/>
    <w:rsid w:val="001D026A"/>
    <w:rsid w:val="001D0B8C"/>
    <w:rsid w:val="001D114E"/>
    <w:rsid w:val="001E62E1"/>
    <w:rsid w:val="001E6D10"/>
    <w:rsid w:val="001F1168"/>
    <w:rsid w:val="001F24F2"/>
    <w:rsid w:val="001F4693"/>
    <w:rsid w:val="00200576"/>
    <w:rsid w:val="0020544C"/>
    <w:rsid w:val="00205C5F"/>
    <w:rsid w:val="00206951"/>
    <w:rsid w:val="00214EB8"/>
    <w:rsid w:val="00215F8B"/>
    <w:rsid w:val="00216ED5"/>
    <w:rsid w:val="00221D94"/>
    <w:rsid w:val="00223FAA"/>
    <w:rsid w:val="00224D57"/>
    <w:rsid w:val="00226895"/>
    <w:rsid w:val="00226AE9"/>
    <w:rsid w:val="0023145B"/>
    <w:rsid w:val="00234368"/>
    <w:rsid w:val="00243266"/>
    <w:rsid w:val="00243C1C"/>
    <w:rsid w:val="00247C67"/>
    <w:rsid w:val="002511AC"/>
    <w:rsid w:val="0025593F"/>
    <w:rsid w:val="00264C84"/>
    <w:rsid w:val="00265DE9"/>
    <w:rsid w:val="00272F3C"/>
    <w:rsid w:val="002764C0"/>
    <w:rsid w:val="00280C56"/>
    <w:rsid w:val="00281B94"/>
    <w:rsid w:val="00286E45"/>
    <w:rsid w:val="00291121"/>
    <w:rsid w:val="002917B8"/>
    <w:rsid w:val="002942B4"/>
    <w:rsid w:val="002A058D"/>
    <w:rsid w:val="002A2B50"/>
    <w:rsid w:val="002B0087"/>
    <w:rsid w:val="002B0B34"/>
    <w:rsid w:val="002B5DBB"/>
    <w:rsid w:val="002C03B2"/>
    <w:rsid w:val="002C0741"/>
    <w:rsid w:val="002C43D0"/>
    <w:rsid w:val="002C7D81"/>
    <w:rsid w:val="002D4407"/>
    <w:rsid w:val="002D5D61"/>
    <w:rsid w:val="002D5FC7"/>
    <w:rsid w:val="002D716A"/>
    <w:rsid w:val="002E2566"/>
    <w:rsid w:val="002F6166"/>
    <w:rsid w:val="002F7C4D"/>
    <w:rsid w:val="00300514"/>
    <w:rsid w:val="0030111A"/>
    <w:rsid w:val="003026AC"/>
    <w:rsid w:val="0030350E"/>
    <w:rsid w:val="00311C2A"/>
    <w:rsid w:val="003139FF"/>
    <w:rsid w:val="0031791E"/>
    <w:rsid w:val="003227D5"/>
    <w:rsid w:val="003366B1"/>
    <w:rsid w:val="00340AD6"/>
    <w:rsid w:val="00340D73"/>
    <w:rsid w:val="00343A11"/>
    <w:rsid w:val="0035295A"/>
    <w:rsid w:val="003539C8"/>
    <w:rsid w:val="003606F3"/>
    <w:rsid w:val="00360E29"/>
    <w:rsid w:val="00363B88"/>
    <w:rsid w:val="003672BA"/>
    <w:rsid w:val="003711EB"/>
    <w:rsid w:val="00371E14"/>
    <w:rsid w:val="00372B4D"/>
    <w:rsid w:val="003779FD"/>
    <w:rsid w:val="0038058A"/>
    <w:rsid w:val="00381734"/>
    <w:rsid w:val="00386C7E"/>
    <w:rsid w:val="003900D2"/>
    <w:rsid w:val="003911AC"/>
    <w:rsid w:val="00397E3C"/>
    <w:rsid w:val="003A7ECE"/>
    <w:rsid w:val="003B7C5A"/>
    <w:rsid w:val="003C01DA"/>
    <w:rsid w:val="003C139F"/>
    <w:rsid w:val="003C172A"/>
    <w:rsid w:val="003C4171"/>
    <w:rsid w:val="003C4F5D"/>
    <w:rsid w:val="003C7E1E"/>
    <w:rsid w:val="003D1C18"/>
    <w:rsid w:val="003D37A5"/>
    <w:rsid w:val="003D5836"/>
    <w:rsid w:val="003E3CD3"/>
    <w:rsid w:val="003E5F2E"/>
    <w:rsid w:val="003E7A6D"/>
    <w:rsid w:val="003F37F1"/>
    <w:rsid w:val="003F57A8"/>
    <w:rsid w:val="003F6F86"/>
    <w:rsid w:val="003F7AFF"/>
    <w:rsid w:val="00400E6A"/>
    <w:rsid w:val="0040309A"/>
    <w:rsid w:val="004130DA"/>
    <w:rsid w:val="00415BCB"/>
    <w:rsid w:val="00416F7E"/>
    <w:rsid w:val="0042270A"/>
    <w:rsid w:val="004232E1"/>
    <w:rsid w:val="0042606F"/>
    <w:rsid w:val="004274D7"/>
    <w:rsid w:val="00427EE6"/>
    <w:rsid w:val="004326B3"/>
    <w:rsid w:val="00434086"/>
    <w:rsid w:val="00437383"/>
    <w:rsid w:val="00440027"/>
    <w:rsid w:val="00443D15"/>
    <w:rsid w:val="00446046"/>
    <w:rsid w:val="00447D4E"/>
    <w:rsid w:val="00454B61"/>
    <w:rsid w:val="00460A4A"/>
    <w:rsid w:val="00460F92"/>
    <w:rsid w:val="00461FCA"/>
    <w:rsid w:val="0046272E"/>
    <w:rsid w:val="00464FF0"/>
    <w:rsid w:val="00470AC3"/>
    <w:rsid w:val="00476174"/>
    <w:rsid w:val="00476DF7"/>
    <w:rsid w:val="004811AB"/>
    <w:rsid w:val="00485878"/>
    <w:rsid w:val="00486574"/>
    <w:rsid w:val="0048710D"/>
    <w:rsid w:val="00491DDF"/>
    <w:rsid w:val="00492993"/>
    <w:rsid w:val="00492E9B"/>
    <w:rsid w:val="00493AA5"/>
    <w:rsid w:val="004A166A"/>
    <w:rsid w:val="004B6876"/>
    <w:rsid w:val="004C4122"/>
    <w:rsid w:val="004C71D1"/>
    <w:rsid w:val="004D2873"/>
    <w:rsid w:val="004D4EB6"/>
    <w:rsid w:val="004D6351"/>
    <w:rsid w:val="004D7C6F"/>
    <w:rsid w:val="004F1E37"/>
    <w:rsid w:val="004F44C2"/>
    <w:rsid w:val="004F470C"/>
    <w:rsid w:val="00501120"/>
    <w:rsid w:val="00501545"/>
    <w:rsid w:val="005015DE"/>
    <w:rsid w:val="00503BC3"/>
    <w:rsid w:val="005121D1"/>
    <w:rsid w:val="00515E58"/>
    <w:rsid w:val="005177DE"/>
    <w:rsid w:val="00517BB4"/>
    <w:rsid w:val="005231D4"/>
    <w:rsid w:val="00523DF5"/>
    <w:rsid w:val="00526BD4"/>
    <w:rsid w:val="00527414"/>
    <w:rsid w:val="00532C96"/>
    <w:rsid w:val="00535555"/>
    <w:rsid w:val="00540859"/>
    <w:rsid w:val="00542BA5"/>
    <w:rsid w:val="00544B1E"/>
    <w:rsid w:val="00547240"/>
    <w:rsid w:val="00554FAE"/>
    <w:rsid w:val="005556D0"/>
    <w:rsid w:val="00556700"/>
    <w:rsid w:val="00560915"/>
    <w:rsid w:val="00561EA2"/>
    <w:rsid w:val="00564F32"/>
    <w:rsid w:val="00566560"/>
    <w:rsid w:val="005716D9"/>
    <w:rsid w:val="00581016"/>
    <w:rsid w:val="00581DE9"/>
    <w:rsid w:val="00582373"/>
    <w:rsid w:val="00585620"/>
    <w:rsid w:val="00586656"/>
    <w:rsid w:val="00586827"/>
    <w:rsid w:val="00587F53"/>
    <w:rsid w:val="005964C4"/>
    <w:rsid w:val="005A045B"/>
    <w:rsid w:val="005B3170"/>
    <w:rsid w:val="005C26B9"/>
    <w:rsid w:val="005C5C6C"/>
    <w:rsid w:val="005C7F6B"/>
    <w:rsid w:val="005D09D6"/>
    <w:rsid w:val="005D149A"/>
    <w:rsid w:val="005D27CA"/>
    <w:rsid w:val="005D3997"/>
    <w:rsid w:val="005D504D"/>
    <w:rsid w:val="005E0719"/>
    <w:rsid w:val="005E2404"/>
    <w:rsid w:val="005E75E6"/>
    <w:rsid w:val="005F1CBF"/>
    <w:rsid w:val="005F3844"/>
    <w:rsid w:val="005F6D72"/>
    <w:rsid w:val="00612D7A"/>
    <w:rsid w:val="00613F9F"/>
    <w:rsid w:val="006150DA"/>
    <w:rsid w:val="00617A6E"/>
    <w:rsid w:val="00622EED"/>
    <w:rsid w:val="006250EA"/>
    <w:rsid w:val="00626F2C"/>
    <w:rsid w:val="006271BC"/>
    <w:rsid w:val="006274B8"/>
    <w:rsid w:val="0063263B"/>
    <w:rsid w:val="006350BD"/>
    <w:rsid w:val="0063658A"/>
    <w:rsid w:val="006370E9"/>
    <w:rsid w:val="00640574"/>
    <w:rsid w:val="00640EB2"/>
    <w:rsid w:val="00641096"/>
    <w:rsid w:val="00641BB4"/>
    <w:rsid w:val="006452C6"/>
    <w:rsid w:val="00646769"/>
    <w:rsid w:val="00653528"/>
    <w:rsid w:val="00662517"/>
    <w:rsid w:val="00663A46"/>
    <w:rsid w:val="006654F6"/>
    <w:rsid w:val="00670574"/>
    <w:rsid w:val="006735C7"/>
    <w:rsid w:val="006750E9"/>
    <w:rsid w:val="006751B6"/>
    <w:rsid w:val="00676F49"/>
    <w:rsid w:val="00682936"/>
    <w:rsid w:val="00682B61"/>
    <w:rsid w:val="0068525D"/>
    <w:rsid w:val="00686096"/>
    <w:rsid w:val="0068751F"/>
    <w:rsid w:val="006900C4"/>
    <w:rsid w:val="00690337"/>
    <w:rsid w:val="00694FF2"/>
    <w:rsid w:val="00695BE1"/>
    <w:rsid w:val="006A2AF3"/>
    <w:rsid w:val="006A319B"/>
    <w:rsid w:val="006A5448"/>
    <w:rsid w:val="006A5BF9"/>
    <w:rsid w:val="006B06E7"/>
    <w:rsid w:val="006B34F1"/>
    <w:rsid w:val="006B45FF"/>
    <w:rsid w:val="006B5678"/>
    <w:rsid w:val="006B7605"/>
    <w:rsid w:val="006B76EA"/>
    <w:rsid w:val="006C2483"/>
    <w:rsid w:val="006C39D7"/>
    <w:rsid w:val="006C6BE6"/>
    <w:rsid w:val="006C70D4"/>
    <w:rsid w:val="006D1E14"/>
    <w:rsid w:val="006D1E8E"/>
    <w:rsid w:val="006D2938"/>
    <w:rsid w:val="006D40B8"/>
    <w:rsid w:val="006D5183"/>
    <w:rsid w:val="006D7F88"/>
    <w:rsid w:val="006E0266"/>
    <w:rsid w:val="006E192A"/>
    <w:rsid w:val="006F37DE"/>
    <w:rsid w:val="006F5276"/>
    <w:rsid w:val="0070080E"/>
    <w:rsid w:val="00700A20"/>
    <w:rsid w:val="00702454"/>
    <w:rsid w:val="00703B12"/>
    <w:rsid w:val="007074D2"/>
    <w:rsid w:val="00710C1F"/>
    <w:rsid w:val="0071311F"/>
    <w:rsid w:val="007139AA"/>
    <w:rsid w:val="00715378"/>
    <w:rsid w:val="00726560"/>
    <w:rsid w:val="00740B01"/>
    <w:rsid w:val="00747281"/>
    <w:rsid w:val="00750784"/>
    <w:rsid w:val="00751D1A"/>
    <w:rsid w:val="00762954"/>
    <w:rsid w:val="0076696A"/>
    <w:rsid w:val="00766EF5"/>
    <w:rsid w:val="00775CA5"/>
    <w:rsid w:val="00785729"/>
    <w:rsid w:val="00787DAC"/>
    <w:rsid w:val="00794687"/>
    <w:rsid w:val="007956C9"/>
    <w:rsid w:val="0079743E"/>
    <w:rsid w:val="007A4D06"/>
    <w:rsid w:val="007A63B6"/>
    <w:rsid w:val="007B046A"/>
    <w:rsid w:val="007B0F65"/>
    <w:rsid w:val="007B4A4A"/>
    <w:rsid w:val="007B6D23"/>
    <w:rsid w:val="007B7A12"/>
    <w:rsid w:val="007C4217"/>
    <w:rsid w:val="007D6B69"/>
    <w:rsid w:val="007D73B7"/>
    <w:rsid w:val="007E2E73"/>
    <w:rsid w:val="007E3300"/>
    <w:rsid w:val="007E4976"/>
    <w:rsid w:val="007E5943"/>
    <w:rsid w:val="007F1E15"/>
    <w:rsid w:val="007F2AC5"/>
    <w:rsid w:val="007F33E5"/>
    <w:rsid w:val="007F588C"/>
    <w:rsid w:val="007F7371"/>
    <w:rsid w:val="00800699"/>
    <w:rsid w:val="00802D14"/>
    <w:rsid w:val="008035C2"/>
    <w:rsid w:val="00807BC1"/>
    <w:rsid w:val="00811238"/>
    <w:rsid w:val="00813E8A"/>
    <w:rsid w:val="00816E37"/>
    <w:rsid w:val="00826B89"/>
    <w:rsid w:val="00831009"/>
    <w:rsid w:val="00831D59"/>
    <w:rsid w:val="00833053"/>
    <w:rsid w:val="00834DD2"/>
    <w:rsid w:val="00840CE6"/>
    <w:rsid w:val="008421C6"/>
    <w:rsid w:val="00843CA0"/>
    <w:rsid w:val="00850260"/>
    <w:rsid w:val="00853920"/>
    <w:rsid w:val="00857AEF"/>
    <w:rsid w:val="00860AFC"/>
    <w:rsid w:val="0086166B"/>
    <w:rsid w:val="0086249B"/>
    <w:rsid w:val="00862F7D"/>
    <w:rsid w:val="00864048"/>
    <w:rsid w:val="00867AE0"/>
    <w:rsid w:val="008751DF"/>
    <w:rsid w:val="008806C2"/>
    <w:rsid w:val="00881461"/>
    <w:rsid w:val="00883590"/>
    <w:rsid w:val="008853B2"/>
    <w:rsid w:val="008960D4"/>
    <w:rsid w:val="008A1024"/>
    <w:rsid w:val="008A203C"/>
    <w:rsid w:val="008A3350"/>
    <w:rsid w:val="008A3F3F"/>
    <w:rsid w:val="008C0806"/>
    <w:rsid w:val="008C2AA7"/>
    <w:rsid w:val="008C4866"/>
    <w:rsid w:val="008D346D"/>
    <w:rsid w:val="008D454B"/>
    <w:rsid w:val="008D5D32"/>
    <w:rsid w:val="008E1A07"/>
    <w:rsid w:val="008E3167"/>
    <w:rsid w:val="008E3C21"/>
    <w:rsid w:val="008E4CD4"/>
    <w:rsid w:val="008E5417"/>
    <w:rsid w:val="008E6D28"/>
    <w:rsid w:val="008E6E26"/>
    <w:rsid w:val="008F5152"/>
    <w:rsid w:val="00901B6C"/>
    <w:rsid w:val="009027DB"/>
    <w:rsid w:val="009034FF"/>
    <w:rsid w:val="00904C5E"/>
    <w:rsid w:val="00906893"/>
    <w:rsid w:val="009069AF"/>
    <w:rsid w:val="00906C34"/>
    <w:rsid w:val="00914708"/>
    <w:rsid w:val="0091625E"/>
    <w:rsid w:val="0091639E"/>
    <w:rsid w:val="00916EED"/>
    <w:rsid w:val="00920394"/>
    <w:rsid w:val="00920AF0"/>
    <w:rsid w:val="0092108B"/>
    <w:rsid w:val="00922B16"/>
    <w:rsid w:val="00926587"/>
    <w:rsid w:val="00927598"/>
    <w:rsid w:val="009345CD"/>
    <w:rsid w:val="00934805"/>
    <w:rsid w:val="00935E50"/>
    <w:rsid w:val="00937647"/>
    <w:rsid w:val="009400C8"/>
    <w:rsid w:val="00940F12"/>
    <w:rsid w:val="00943338"/>
    <w:rsid w:val="009453A1"/>
    <w:rsid w:val="009457AF"/>
    <w:rsid w:val="009501DE"/>
    <w:rsid w:val="00950270"/>
    <w:rsid w:val="0095085F"/>
    <w:rsid w:val="00950E5D"/>
    <w:rsid w:val="0095521B"/>
    <w:rsid w:val="009615A4"/>
    <w:rsid w:val="009622CC"/>
    <w:rsid w:val="00967731"/>
    <w:rsid w:val="00972D0A"/>
    <w:rsid w:val="00974934"/>
    <w:rsid w:val="00974E1F"/>
    <w:rsid w:val="0098121A"/>
    <w:rsid w:val="0098183E"/>
    <w:rsid w:val="0098219D"/>
    <w:rsid w:val="009828DA"/>
    <w:rsid w:val="0098760B"/>
    <w:rsid w:val="009905D9"/>
    <w:rsid w:val="00991EAA"/>
    <w:rsid w:val="00993451"/>
    <w:rsid w:val="0099399E"/>
    <w:rsid w:val="00994ADF"/>
    <w:rsid w:val="00996B02"/>
    <w:rsid w:val="009A286C"/>
    <w:rsid w:val="009A4D85"/>
    <w:rsid w:val="009A6BE3"/>
    <w:rsid w:val="009B42AB"/>
    <w:rsid w:val="009C3E6D"/>
    <w:rsid w:val="009C4A67"/>
    <w:rsid w:val="009D0534"/>
    <w:rsid w:val="009D3620"/>
    <w:rsid w:val="009D6133"/>
    <w:rsid w:val="009D683F"/>
    <w:rsid w:val="009E1571"/>
    <w:rsid w:val="009E4CE2"/>
    <w:rsid w:val="009F07D3"/>
    <w:rsid w:val="009F507C"/>
    <w:rsid w:val="009F75B7"/>
    <w:rsid w:val="00A02768"/>
    <w:rsid w:val="00A0292E"/>
    <w:rsid w:val="00A03BBE"/>
    <w:rsid w:val="00A05CBA"/>
    <w:rsid w:val="00A126B2"/>
    <w:rsid w:val="00A130F8"/>
    <w:rsid w:val="00A1427F"/>
    <w:rsid w:val="00A15B05"/>
    <w:rsid w:val="00A16B39"/>
    <w:rsid w:val="00A2087D"/>
    <w:rsid w:val="00A20B12"/>
    <w:rsid w:val="00A2456F"/>
    <w:rsid w:val="00A264A6"/>
    <w:rsid w:val="00A30174"/>
    <w:rsid w:val="00A30C89"/>
    <w:rsid w:val="00A40C8D"/>
    <w:rsid w:val="00A41127"/>
    <w:rsid w:val="00A43156"/>
    <w:rsid w:val="00A43590"/>
    <w:rsid w:val="00A5002F"/>
    <w:rsid w:val="00A511B7"/>
    <w:rsid w:val="00A51785"/>
    <w:rsid w:val="00A520CE"/>
    <w:rsid w:val="00A52583"/>
    <w:rsid w:val="00A55976"/>
    <w:rsid w:val="00A56394"/>
    <w:rsid w:val="00A56FA7"/>
    <w:rsid w:val="00A6496B"/>
    <w:rsid w:val="00A650C7"/>
    <w:rsid w:val="00A65371"/>
    <w:rsid w:val="00A701D8"/>
    <w:rsid w:val="00A749E7"/>
    <w:rsid w:val="00A75141"/>
    <w:rsid w:val="00A826CD"/>
    <w:rsid w:val="00A85CDD"/>
    <w:rsid w:val="00A910B4"/>
    <w:rsid w:val="00A9127D"/>
    <w:rsid w:val="00AA08A0"/>
    <w:rsid w:val="00AA321D"/>
    <w:rsid w:val="00AA37EA"/>
    <w:rsid w:val="00AA3A8A"/>
    <w:rsid w:val="00AA492D"/>
    <w:rsid w:val="00AA56BC"/>
    <w:rsid w:val="00AA66A8"/>
    <w:rsid w:val="00AA7420"/>
    <w:rsid w:val="00AB1B72"/>
    <w:rsid w:val="00AB4B33"/>
    <w:rsid w:val="00AB7E4A"/>
    <w:rsid w:val="00AC1E9C"/>
    <w:rsid w:val="00AC2FAA"/>
    <w:rsid w:val="00AC3513"/>
    <w:rsid w:val="00AC5DA2"/>
    <w:rsid w:val="00AC625D"/>
    <w:rsid w:val="00AC72BF"/>
    <w:rsid w:val="00AD1BAE"/>
    <w:rsid w:val="00AD2C72"/>
    <w:rsid w:val="00AD3ECF"/>
    <w:rsid w:val="00AE5276"/>
    <w:rsid w:val="00AF1425"/>
    <w:rsid w:val="00AF1E82"/>
    <w:rsid w:val="00AF20EB"/>
    <w:rsid w:val="00AF3CA2"/>
    <w:rsid w:val="00AF5ADE"/>
    <w:rsid w:val="00AF7FB1"/>
    <w:rsid w:val="00B03B10"/>
    <w:rsid w:val="00B04275"/>
    <w:rsid w:val="00B062F7"/>
    <w:rsid w:val="00B072C2"/>
    <w:rsid w:val="00B1015A"/>
    <w:rsid w:val="00B11BE2"/>
    <w:rsid w:val="00B23D7E"/>
    <w:rsid w:val="00B23EA7"/>
    <w:rsid w:val="00B267B6"/>
    <w:rsid w:val="00B27564"/>
    <w:rsid w:val="00B30F30"/>
    <w:rsid w:val="00B34111"/>
    <w:rsid w:val="00B34A82"/>
    <w:rsid w:val="00B45398"/>
    <w:rsid w:val="00B45ACF"/>
    <w:rsid w:val="00B463EF"/>
    <w:rsid w:val="00B47B21"/>
    <w:rsid w:val="00B52CB9"/>
    <w:rsid w:val="00B5572D"/>
    <w:rsid w:val="00B55D52"/>
    <w:rsid w:val="00B61C65"/>
    <w:rsid w:val="00B62F4A"/>
    <w:rsid w:val="00B700BD"/>
    <w:rsid w:val="00B7210C"/>
    <w:rsid w:val="00B76222"/>
    <w:rsid w:val="00B80586"/>
    <w:rsid w:val="00B81BB8"/>
    <w:rsid w:val="00B8518C"/>
    <w:rsid w:val="00B86C52"/>
    <w:rsid w:val="00B93012"/>
    <w:rsid w:val="00B960EA"/>
    <w:rsid w:val="00BB3FCE"/>
    <w:rsid w:val="00BB4528"/>
    <w:rsid w:val="00BB536D"/>
    <w:rsid w:val="00BC402E"/>
    <w:rsid w:val="00BD13A1"/>
    <w:rsid w:val="00BD3E31"/>
    <w:rsid w:val="00BD4276"/>
    <w:rsid w:val="00BD476D"/>
    <w:rsid w:val="00BD56BF"/>
    <w:rsid w:val="00BD57B4"/>
    <w:rsid w:val="00BF1D86"/>
    <w:rsid w:val="00BF6FBD"/>
    <w:rsid w:val="00C01CF1"/>
    <w:rsid w:val="00C02106"/>
    <w:rsid w:val="00C0437C"/>
    <w:rsid w:val="00C0698A"/>
    <w:rsid w:val="00C11839"/>
    <w:rsid w:val="00C12EF5"/>
    <w:rsid w:val="00C14C95"/>
    <w:rsid w:val="00C17C11"/>
    <w:rsid w:val="00C216F4"/>
    <w:rsid w:val="00C23C6A"/>
    <w:rsid w:val="00C51DB3"/>
    <w:rsid w:val="00C52DFE"/>
    <w:rsid w:val="00C652E4"/>
    <w:rsid w:val="00C65623"/>
    <w:rsid w:val="00C72084"/>
    <w:rsid w:val="00C72CC1"/>
    <w:rsid w:val="00C752E6"/>
    <w:rsid w:val="00C77461"/>
    <w:rsid w:val="00C8011E"/>
    <w:rsid w:val="00C90604"/>
    <w:rsid w:val="00C91D79"/>
    <w:rsid w:val="00C93BA5"/>
    <w:rsid w:val="00C975C4"/>
    <w:rsid w:val="00C9780C"/>
    <w:rsid w:val="00C97994"/>
    <w:rsid w:val="00CA2AB5"/>
    <w:rsid w:val="00CA741A"/>
    <w:rsid w:val="00CB0BAF"/>
    <w:rsid w:val="00CB7B57"/>
    <w:rsid w:val="00CC0576"/>
    <w:rsid w:val="00CC2532"/>
    <w:rsid w:val="00CC28B0"/>
    <w:rsid w:val="00CC33E9"/>
    <w:rsid w:val="00CD007C"/>
    <w:rsid w:val="00CD348F"/>
    <w:rsid w:val="00CD35B9"/>
    <w:rsid w:val="00CD4CEE"/>
    <w:rsid w:val="00CD5E24"/>
    <w:rsid w:val="00CD734A"/>
    <w:rsid w:val="00CE03BC"/>
    <w:rsid w:val="00CE14A1"/>
    <w:rsid w:val="00CE6565"/>
    <w:rsid w:val="00CF2894"/>
    <w:rsid w:val="00CF71A8"/>
    <w:rsid w:val="00D048AC"/>
    <w:rsid w:val="00D04D4F"/>
    <w:rsid w:val="00D04D5F"/>
    <w:rsid w:val="00D10B23"/>
    <w:rsid w:val="00D143E7"/>
    <w:rsid w:val="00D1528E"/>
    <w:rsid w:val="00D161FB"/>
    <w:rsid w:val="00D17FEA"/>
    <w:rsid w:val="00D22BD4"/>
    <w:rsid w:val="00D23B10"/>
    <w:rsid w:val="00D2611E"/>
    <w:rsid w:val="00D34664"/>
    <w:rsid w:val="00D34B56"/>
    <w:rsid w:val="00D36D31"/>
    <w:rsid w:val="00D50E7B"/>
    <w:rsid w:val="00D53B72"/>
    <w:rsid w:val="00D57D98"/>
    <w:rsid w:val="00D62CE5"/>
    <w:rsid w:val="00D62E6F"/>
    <w:rsid w:val="00D66636"/>
    <w:rsid w:val="00D724C9"/>
    <w:rsid w:val="00D7294C"/>
    <w:rsid w:val="00D757C3"/>
    <w:rsid w:val="00D80E73"/>
    <w:rsid w:val="00D81D13"/>
    <w:rsid w:val="00D81E6B"/>
    <w:rsid w:val="00D878BD"/>
    <w:rsid w:val="00D91D6D"/>
    <w:rsid w:val="00D921D5"/>
    <w:rsid w:val="00D94A6B"/>
    <w:rsid w:val="00D965C5"/>
    <w:rsid w:val="00D97B68"/>
    <w:rsid w:val="00D97E81"/>
    <w:rsid w:val="00DA156A"/>
    <w:rsid w:val="00DA2FF1"/>
    <w:rsid w:val="00DA5965"/>
    <w:rsid w:val="00DA7641"/>
    <w:rsid w:val="00DB3E7D"/>
    <w:rsid w:val="00DB41E1"/>
    <w:rsid w:val="00DB6685"/>
    <w:rsid w:val="00DD32F3"/>
    <w:rsid w:val="00DD6E92"/>
    <w:rsid w:val="00DE1B63"/>
    <w:rsid w:val="00DE72F7"/>
    <w:rsid w:val="00DF2477"/>
    <w:rsid w:val="00DF5CEF"/>
    <w:rsid w:val="00E0544A"/>
    <w:rsid w:val="00E107A7"/>
    <w:rsid w:val="00E11E6F"/>
    <w:rsid w:val="00E12703"/>
    <w:rsid w:val="00E13ED0"/>
    <w:rsid w:val="00E16BDC"/>
    <w:rsid w:val="00E21E45"/>
    <w:rsid w:val="00E25166"/>
    <w:rsid w:val="00E27DD5"/>
    <w:rsid w:val="00E312BD"/>
    <w:rsid w:val="00E31BF7"/>
    <w:rsid w:val="00E33C81"/>
    <w:rsid w:val="00E402B5"/>
    <w:rsid w:val="00E40E9E"/>
    <w:rsid w:val="00E41516"/>
    <w:rsid w:val="00E42E27"/>
    <w:rsid w:val="00E47D16"/>
    <w:rsid w:val="00E51339"/>
    <w:rsid w:val="00E52B5C"/>
    <w:rsid w:val="00E5402A"/>
    <w:rsid w:val="00E56046"/>
    <w:rsid w:val="00E56E63"/>
    <w:rsid w:val="00E5758D"/>
    <w:rsid w:val="00E60298"/>
    <w:rsid w:val="00E71212"/>
    <w:rsid w:val="00E7597C"/>
    <w:rsid w:val="00E809E6"/>
    <w:rsid w:val="00E82276"/>
    <w:rsid w:val="00E84CF4"/>
    <w:rsid w:val="00E92173"/>
    <w:rsid w:val="00E925C4"/>
    <w:rsid w:val="00E93C7A"/>
    <w:rsid w:val="00E949DF"/>
    <w:rsid w:val="00E96751"/>
    <w:rsid w:val="00E979C8"/>
    <w:rsid w:val="00EA2582"/>
    <w:rsid w:val="00EA384B"/>
    <w:rsid w:val="00EB2CD4"/>
    <w:rsid w:val="00EB5006"/>
    <w:rsid w:val="00EB5E26"/>
    <w:rsid w:val="00EC0A0B"/>
    <w:rsid w:val="00EC2B35"/>
    <w:rsid w:val="00EC3AB9"/>
    <w:rsid w:val="00EC495A"/>
    <w:rsid w:val="00EC5636"/>
    <w:rsid w:val="00EC5B9E"/>
    <w:rsid w:val="00ED1FC9"/>
    <w:rsid w:val="00ED23D8"/>
    <w:rsid w:val="00ED2E92"/>
    <w:rsid w:val="00EE0544"/>
    <w:rsid w:val="00EE55ED"/>
    <w:rsid w:val="00EF4144"/>
    <w:rsid w:val="00EF4373"/>
    <w:rsid w:val="00EF62EC"/>
    <w:rsid w:val="00EF6A61"/>
    <w:rsid w:val="00F01D05"/>
    <w:rsid w:val="00F05015"/>
    <w:rsid w:val="00F06F74"/>
    <w:rsid w:val="00F11720"/>
    <w:rsid w:val="00F12139"/>
    <w:rsid w:val="00F12816"/>
    <w:rsid w:val="00F13406"/>
    <w:rsid w:val="00F14F60"/>
    <w:rsid w:val="00F15926"/>
    <w:rsid w:val="00F15DB3"/>
    <w:rsid w:val="00F1751C"/>
    <w:rsid w:val="00F17A3D"/>
    <w:rsid w:val="00F20A38"/>
    <w:rsid w:val="00F20B8F"/>
    <w:rsid w:val="00F254DE"/>
    <w:rsid w:val="00F260BE"/>
    <w:rsid w:val="00F30CBE"/>
    <w:rsid w:val="00F32582"/>
    <w:rsid w:val="00F33806"/>
    <w:rsid w:val="00F37973"/>
    <w:rsid w:val="00F44EAB"/>
    <w:rsid w:val="00F5127E"/>
    <w:rsid w:val="00F53149"/>
    <w:rsid w:val="00F54A60"/>
    <w:rsid w:val="00F645AE"/>
    <w:rsid w:val="00F64D80"/>
    <w:rsid w:val="00F77048"/>
    <w:rsid w:val="00F816AF"/>
    <w:rsid w:val="00F81D3E"/>
    <w:rsid w:val="00F83A83"/>
    <w:rsid w:val="00F8586B"/>
    <w:rsid w:val="00F91D31"/>
    <w:rsid w:val="00F94E97"/>
    <w:rsid w:val="00FA25A8"/>
    <w:rsid w:val="00FA5094"/>
    <w:rsid w:val="00FB0CB0"/>
    <w:rsid w:val="00FB22F7"/>
    <w:rsid w:val="00FC0DDB"/>
    <w:rsid w:val="00FC14FD"/>
    <w:rsid w:val="00FC245B"/>
    <w:rsid w:val="00FD4880"/>
    <w:rsid w:val="00FD48C5"/>
    <w:rsid w:val="00FE26CE"/>
    <w:rsid w:val="00FE3A91"/>
    <w:rsid w:val="00FE4AE9"/>
    <w:rsid w:val="00FE5D1A"/>
    <w:rsid w:val="00FE6648"/>
    <w:rsid w:val="00FE66CD"/>
    <w:rsid w:val="00FE6E5E"/>
    <w:rsid w:val="00FF053F"/>
    <w:rsid w:val="00FF4783"/>
    <w:rsid w:val="00FF4F15"/>
    <w:rsid w:val="00FF6B3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C81EF3"/>
  <w15:docId w15:val="{42E5F569-FED7-4140-A0F0-A8B448AF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949DF"/>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56046"/>
    <w:pPr>
      <w:ind w:left="720"/>
      <w:contextualSpacing/>
    </w:pPr>
  </w:style>
  <w:style w:type="paragraph" w:styleId="Textpoznpodarou">
    <w:name w:val="footnote text"/>
    <w:basedOn w:val="Normln"/>
    <w:link w:val="TextpoznpodarouChar"/>
    <w:uiPriority w:val="99"/>
    <w:semiHidden/>
    <w:unhideWhenUsed/>
    <w:rsid w:val="00E56046"/>
    <w:pPr>
      <w:spacing w:after="0" w:line="240" w:lineRule="auto"/>
    </w:pPr>
    <w:rPr>
      <w:sz w:val="20"/>
      <w:szCs w:val="20"/>
    </w:rPr>
  </w:style>
  <w:style w:type="character" w:customStyle="1" w:styleId="TextpoznpodarouChar">
    <w:name w:val="Text pozn. pod čarou Char"/>
    <w:link w:val="Textpoznpodarou"/>
    <w:uiPriority w:val="99"/>
    <w:semiHidden/>
    <w:rsid w:val="00E56046"/>
    <w:rPr>
      <w:sz w:val="20"/>
      <w:szCs w:val="20"/>
    </w:rPr>
  </w:style>
  <w:style w:type="character" w:styleId="Znakapoznpodarou">
    <w:name w:val="footnote reference"/>
    <w:uiPriority w:val="99"/>
    <w:semiHidden/>
    <w:unhideWhenUsed/>
    <w:rsid w:val="00E56046"/>
    <w:rPr>
      <w:vertAlign w:val="superscript"/>
    </w:rPr>
  </w:style>
  <w:style w:type="table" w:styleId="Mkatabulky">
    <w:name w:val="Table Grid"/>
    <w:basedOn w:val="Normlntabulka"/>
    <w:uiPriority w:val="59"/>
    <w:rsid w:val="000E2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2F7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540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063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76D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974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B34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566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581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E27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59"/>
    <w:rsid w:val="00462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462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2">
    <w:name w:val="Mřížka tabulky12"/>
    <w:basedOn w:val="Normlntabulka"/>
    <w:next w:val="Mkatabulky"/>
    <w:uiPriority w:val="59"/>
    <w:rsid w:val="008D3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3">
    <w:name w:val="Mřížka tabulky13"/>
    <w:basedOn w:val="Normlntabulka"/>
    <w:next w:val="Mkatabulky"/>
    <w:uiPriority w:val="59"/>
    <w:rsid w:val="008D3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4">
    <w:name w:val="Mřížka tabulky14"/>
    <w:basedOn w:val="Normlntabulka"/>
    <w:next w:val="Mkatabulky"/>
    <w:uiPriority w:val="59"/>
    <w:rsid w:val="00C65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5">
    <w:name w:val="Mřížka tabulky15"/>
    <w:basedOn w:val="Normlntabulka"/>
    <w:next w:val="Mkatabulky"/>
    <w:uiPriority w:val="59"/>
    <w:rsid w:val="00B72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6">
    <w:name w:val="Mřížka tabulky16"/>
    <w:basedOn w:val="Normlntabulka"/>
    <w:next w:val="Mkatabulky"/>
    <w:uiPriority w:val="59"/>
    <w:rsid w:val="003C0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7">
    <w:name w:val="Mřížka tabulky17"/>
    <w:basedOn w:val="Normlntabulka"/>
    <w:next w:val="Mkatabulky"/>
    <w:uiPriority w:val="59"/>
    <w:rsid w:val="0097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8">
    <w:name w:val="Mřížka tabulky18"/>
    <w:basedOn w:val="Normlntabulka"/>
    <w:next w:val="Mkatabulky"/>
    <w:uiPriority w:val="59"/>
    <w:rsid w:val="00517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9">
    <w:name w:val="Mřížka tabulky19"/>
    <w:basedOn w:val="Normlntabulka"/>
    <w:next w:val="Mkatabulky"/>
    <w:uiPriority w:val="59"/>
    <w:rsid w:val="00DB4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0">
    <w:name w:val="Mřížka tabulky20"/>
    <w:basedOn w:val="Normlntabulka"/>
    <w:next w:val="Mkatabulky"/>
    <w:uiPriority w:val="59"/>
    <w:rsid w:val="0050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50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AF1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AF1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E56E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
    <w:name w:val="Mřížka tabulky25"/>
    <w:basedOn w:val="Normlntabulka"/>
    <w:next w:val="Mkatabulky"/>
    <w:uiPriority w:val="59"/>
    <w:rsid w:val="00E52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6">
    <w:name w:val="Mřížka tabulky26"/>
    <w:basedOn w:val="Normlntabulka"/>
    <w:next w:val="Mkatabulky"/>
    <w:uiPriority w:val="59"/>
    <w:rsid w:val="001C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7">
    <w:name w:val="Mřížka tabulky27"/>
    <w:basedOn w:val="Normlntabulka"/>
    <w:next w:val="Mkatabulky"/>
    <w:uiPriority w:val="59"/>
    <w:rsid w:val="00371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8">
    <w:name w:val="Mřížka tabulky28"/>
    <w:basedOn w:val="Normlntabulka"/>
    <w:next w:val="Mkatabulky"/>
    <w:uiPriority w:val="59"/>
    <w:rsid w:val="009F0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9">
    <w:name w:val="Mřížka tabulky29"/>
    <w:basedOn w:val="Normlntabulka"/>
    <w:next w:val="Mkatabulky"/>
    <w:uiPriority w:val="59"/>
    <w:rsid w:val="009F0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0">
    <w:name w:val="Mřížka tabulky30"/>
    <w:basedOn w:val="Normlntabulka"/>
    <w:next w:val="Mkatabulky"/>
    <w:uiPriority w:val="59"/>
    <w:rsid w:val="0093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1">
    <w:name w:val="Mřížka tabulky31"/>
    <w:basedOn w:val="Normlntabulka"/>
    <w:next w:val="Mkatabulky"/>
    <w:uiPriority w:val="59"/>
    <w:rsid w:val="0093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2">
    <w:name w:val="Mřížka tabulky32"/>
    <w:basedOn w:val="Normlntabulka"/>
    <w:next w:val="Mkatabulky"/>
    <w:uiPriority w:val="59"/>
    <w:rsid w:val="00935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3">
    <w:name w:val="Mřížka tabulky33"/>
    <w:basedOn w:val="Normlntabulka"/>
    <w:next w:val="Mkatabulky"/>
    <w:uiPriority w:val="59"/>
    <w:rsid w:val="0063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4">
    <w:name w:val="Mřížka tabulky34"/>
    <w:basedOn w:val="Normlntabulka"/>
    <w:next w:val="Mkatabulky"/>
    <w:uiPriority w:val="59"/>
    <w:rsid w:val="00637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5">
    <w:name w:val="Mřížka tabulky35"/>
    <w:basedOn w:val="Normlntabulka"/>
    <w:next w:val="Mkatabulky"/>
    <w:uiPriority w:val="59"/>
    <w:rsid w:val="00B0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F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59"/>
    <w:rsid w:val="00F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EC5B9E"/>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C5B9E"/>
    <w:rPr>
      <w:rFonts w:ascii="Tahoma" w:hAnsi="Tahoma" w:cs="Tahoma"/>
      <w:sz w:val="16"/>
      <w:szCs w:val="16"/>
    </w:rPr>
  </w:style>
  <w:style w:type="paragraph" w:styleId="Zhlav">
    <w:name w:val="header"/>
    <w:basedOn w:val="Normln"/>
    <w:link w:val="ZhlavChar"/>
    <w:uiPriority w:val="99"/>
    <w:unhideWhenUsed/>
    <w:rsid w:val="00E0544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0544A"/>
  </w:style>
  <w:style w:type="paragraph" w:styleId="Zpat">
    <w:name w:val="footer"/>
    <w:basedOn w:val="Normln"/>
    <w:link w:val="ZpatChar"/>
    <w:uiPriority w:val="99"/>
    <w:unhideWhenUsed/>
    <w:rsid w:val="00E0544A"/>
    <w:pPr>
      <w:tabs>
        <w:tab w:val="center" w:pos="4536"/>
        <w:tab w:val="right" w:pos="9072"/>
      </w:tabs>
      <w:spacing w:after="0" w:line="240" w:lineRule="auto"/>
    </w:pPr>
  </w:style>
  <w:style w:type="character" w:customStyle="1" w:styleId="ZpatChar">
    <w:name w:val="Zápatí Char"/>
    <w:basedOn w:val="Standardnpsmoodstavce"/>
    <w:link w:val="Zpat"/>
    <w:uiPriority w:val="99"/>
    <w:rsid w:val="00E0544A"/>
  </w:style>
  <w:style w:type="character" w:styleId="Hypertextovodkaz">
    <w:name w:val="Hyperlink"/>
    <w:uiPriority w:val="99"/>
    <w:unhideWhenUsed/>
    <w:rsid w:val="001B6E2C"/>
    <w:rPr>
      <w:color w:val="0000FF"/>
      <w:u w:val="single"/>
    </w:rPr>
  </w:style>
  <w:style w:type="character" w:styleId="Sledovanodkaz">
    <w:name w:val="FollowedHyperlink"/>
    <w:uiPriority w:val="99"/>
    <w:semiHidden/>
    <w:unhideWhenUsed/>
    <w:rsid w:val="00D91D6D"/>
    <w:rPr>
      <w:color w:val="800080"/>
      <w:u w:val="single"/>
    </w:rPr>
  </w:style>
  <w:style w:type="character" w:styleId="Odkaznakoment">
    <w:name w:val="annotation reference"/>
    <w:uiPriority w:val="99"/>
    <w:semiHidden/>
    <w:unhideWhenUsed/>
    <w:rsid w:val="00920394"/>
    <w:rPr>
      <w:sz w:val="16"/>
      <w:szCs w:val="16"/>
    </w:rPr>
  </w:style>
  <w:style w:type="paragraph" w:styleId="Textkomente">
    <w:name w:val="annotation text"/>
    <w:basedOn w:val="Normln"/>
    <w:link w:val="TextkomenteChar"/>
    <w:uiPriority w:val="99"/>
    <w:semiHidden/>
    <w:unhideWhenUsed/>
    <w:rsid w:val="00920394"/>
    <w:pPr>
      <w:spacing w:line="240" w:lineRule="auto"/>
    </w:pPr>
    <w:rPr>
      <w:sz w:val="20"/>
      <w:szCs w:val="20"/>
    </w:rPr>
  </w:style>
  <w:style w:type="character" w:customStyle="1" w:styleId="TextkomenteChar">
    <w:name w:val="Text komentáře Char"/>
    <w:link w:val="Textkomente"/>
    <w:uiPriority w:val="99"/>
    <w:semiHidden/>
    <w:rsid w:val="00920394"/>
    <w:rPr>
      <w:sz w:val="20"/>
      <w:szCs w:val="20"/>
    </w:rPr>
  </w:style>
  <w:style w:type="paragraph" w:styleId="Pedmtkomente">
    <w:name w:val="annotation subject"/>
    <w:basedOn w:val="Textkomente"/>
    <w:next w:val="Textkomente"/>
    <w:link w:val="PedmtkomenteChar"/>
    <w:uiPriority w:val="99"/>
    <w:semiHidden/>
    <w:unhideWhenUsed/>
    <w:rsid w:val="00920394"/>
    <w:rPr>
      <w:b/>
      <w:bCs/>
    </w:rPr>
  </w:style>
  <w:style w:type="character" w:customStyle="1" w:styleId="PedmtkomenteChar">
    <w:name w:val="Předmět komentáře Char"/>
    <w:link w:val="Pedmtkomente"/>
    <w:uiPriority w:val="99"/>
    <w:semiHidden/>
    <w:rsid w:val="00920394"/>
    <w:rPr>
      <w:b/>
      <w:bCs/>
      <w:sz w:val="20"/>
      <w:szCs w:val="20"/>
    </w:rPr>
  </w:style>
  <w:style w:type="paragraph" w:customStyle="1" w:styleId="Default">
    <w:name w:val="Default"/>
    <w:rsid w:val="00464FF0"/>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Standardnpsmoodstavce"/>
    <w:rsid w:val="00E12703"/>
  </w:style>
  <w:style w:type="character" w:styleId="Siln">
    <w:name w:val="Strong"/>
    <w:basedOn w:val="Standardnpsmoodstavce"/>
    <w:uiPriority w:val="22"/>
    <w:qFormat/>
    <w:rsid w:val="00E12703"/>
    <w:rPr>
      <w:b/>
      <w:bCs/>
    </w:rPr>
  </w:style>
  <w:style w:type="paragraph" w:styleId="Zkladntext">
    <w:name w:val="Body Text"/>
    <w:basedOn w:val="Normln"/>
    <w:link w:val="ZkladntextChar"/>
    <w:uiPriority w:val="1"/>
    <w:qFormat/>
    <w:rsid w:val="00CD4CEE"/>
    <w:pPr>
      <w:widowControl w:val="0"/>
      <w:autoSpaceDE w:val="0"/>
      <w:autoSpaceDN w:val="0"/>
      <w:spacing w:after="0" w:line="240" w:lineRule="auto"/>
    </w:pPr>
    <w:rPr>
      <w:rFonts w:ascii="Arial" w:eastAsia="Arial" w:hAnsi="Arial" w:cs="Arial"/>
      <w:sz w:val="24"/>
      <w:szCs w:val="24"/>
      <w:lang w:val="en-US" w:bidi="en-US"/>
    </w:rPr>
  </w:style>
  <w:style w:type="character" w:customStyle="1" w:styleId="ZkladntextChar">
    <w:name w:val="Základní text Char"/>
    <w:basedOn w:val="Standardnpsmoodstavce"/>
    <w:link w:val="Zkladntext"/>
    <w:uiPriority w:val="1"/>
    <w:rsid w:val="00CD4CEE"/>
    <w:rPr>
      <w:rFonts w:ascii="Arial" w:eastAsia="Arial" w:hAnsi="Arial" w:cs="Arial"/>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6033">
      <w:bodyDiv w:val="1"/>
      <w:marLeft w:val="0"/>
      <w:marRight w:val="0"/>
      <w:marTop w:val="0"/>
      <w:marBottom w:val="0"/>
      <w:divBdr>
        <w:top w:val="none" w:sz="0" w:space="0" w:color="auto"/>
        <w:left w:val="none" w:sz="0" w:space="0" w:color="auto"/>
        <w:bottom w:val="none" w:sz="0" w:space="0" w:color="auto"/>
        <w:right w:val="none" w:sz="0" w:space="0" w:color="auto"/>
      </w:divBdr>
    </w:div>
    <w:div w:id="108207206">
      <w:bodyDiv w:val="1"/>
      <w:marLeft w:val="0"/>
      <w:marRight w:val="0"/>
      <w:marTop w:val="0"/>
      <w:marBottom w:val="0"/>
      <w:divBdr>
        <w:top w:val="none" w:sz="0" w:space="0" w:color="auto"/>
        <w:left w:val="none" w:sz="0" w:space="0" w:color="auto"/>
        <w:bottom w:val="none" w:sz="0" w:space="0" w:color="auto"/>
        <w:right w:val="none" w:sz="0" w:space="0" w:color="auto"/>
      </w:divBdr>
    </w:div>
    <w:div w:id="113838226">
      <w:bodyDiv w:val="1"/>
      <w:marLeft w:val="0"/>
      <w:marRight w:val="0"/>
      <w:marTop w:val="0"/>
      <w:marBottom w:val="0"/>
      <w:divBdr>
        <w:top w:val="none" w:sz="0" w:space="0" w:color="auto"/>
        <w:left w:val="none" w:sz="0" w:space="0" w:color="auto"/>
        <w:bottom w:val="none" w:sz="0" w:space="0" w:color="auto"/>
        <w:right w:val="none" w:sz="0" w:space="0" w:color="auto"/>
      </w:divBdr>
      <w:divsChild>
        <w:div w:id="308050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641313">
              <w:marLeft w:val="0"/>
              <w:marRight w:val="0"/>
              <w:marTop w:val="0"/>
              <w:marBottom w:val="0"/>
              <w:divBdr>
                <w:top w:val="none" w:sz="0" w:space="0" w:color="auto"/>
                <w:left w:val="none" w:sz="0" w:space="0" w:color="auto"/>
                <w:bottom w:val="none" w:sz="0" w:space="0" w:color="auto"/>
                <w:right w:val="none" w:sz="0" w:space="0" w:color="auto"/>
              </w:divBdr>
              <w:divsChild>
                <w:div w:id="220865973">
                  <w:marLeft w:val="0"/>
                  <w:marRight w:val="0"/>
                  <w:marTop w:val="0"/>
                  <w:marBottom w:val="0"/>
                  <w:divBdr>
                    <w:top w:val="none" w:sz="0" w:space="0" w:color="auto"/>
                    <w:left w:val="none" w:sz="0" w:space="0" w:color="auto"/>
                    <w:bottom w:val="none" w:sz="0" w:space="0" w:color="auto"/>
                    <w:right w:val="none" w:sz="0" w:space="0" w:color="auto"/>
                  </w:divBdr>
                  <w:divsChild>
                    <w:div w:id="1652561078">
                      <w:marLeft w:val="0"/>
                      <w:marRight w:val="0"/>
                      <w:marTop w:val="0"/>
                      <w:marBottom w:val="0"/>
                      <w:divBdr>
                        <w:top w:val="none" w:sz="0" w:space="0" w:color="auto"/>
                        <w:left w:val="none" w:sz="0" w:space="0" w:color="auto"/>
                        <w:bottom w:val="none" w:sz="0" w:space="0" w:color="auto"/>
                        <w:right w:val="none" w:sz="0" w:space="0" w:color="auto"/>
                      </w:divBdr>
                      <w:divsChild>
                        <w:div w:id="16125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32105">
      <w:bodyDiv w:val="1"/>
      <w:marLeft w:val="0"/>
      <w:marRight w:val="0"/>
      <w:marTop w:val="0"/>
      <w:marBottom w:val="0"/>
      <w:divBdr>
        <w:top w:val="none" w:sz="0" w:space="0" w:color="auto"/>
        <w:left w:val="none" w:sz="0" w:space="0" w:color="auto"/>
        <w:bottom w:val="none" w:sz="0" w:space="0" w:color="auto"/>
        <w:right w:val="none" w:sz="0" w:space="0" w:color="auto"/>
      </w:divBdr>
    </w:div>
    <w:div w:id="280184365">
      <w:bodyDiv w:val="1"/>
      <w:marLeft w:val="0"/>
      <w:marRight w:val="0"/>
      <w:marTop w:val="0"/>
      <w:marBottom w:val="0"/>
      <w:divBdr>
        <w:top w:val="none" w:sz="0" w:space="0" w:color="auto"/>
        <w:left w:val="none" w:sz="0" w:space="0" w:color="auto"/>
        <w:bottom w:val="none" w:sz="0" w:space="0" w:color="auto"/>
        <w:right w:val="none" w:sz="0" w:space="0" w:color="auto"/>
      </w:divBdr>
    </w:div>
    <w:div w:id="290406076">
      <w:bodyDiv w:val="1"/>
      <w:marLeft w:val="0"/>
      <w:marRight w:val="0"/>
      <w:marTop w:val="0"/>
      <w:marBottom w:val="0"/>
      <w:divBdr>
        <w:top w:val="none" w:sz="0" w:space="0" w:color="auto"/>
        <w:left w:val="none" w:sz="0" w:space="0" w:color="auto"/>
        <w:bottom w:val="none" w:sz="0" w:space="0" w:color="auto"/>
        <w:right w:val="none" w:sz="0" w:space="0" w:color="auto"/>
      </w:divBdr>
    </w:div>
    <w:div w:id="312683303">
      <w:bodyDiv w:val="1"/>
      <w:marLeft w:val="0"/>
      <w:marRight w:val="0"/>
      <w:marTop w:val="0"/>
      <w:marBottom w:val="0"/>
      <w:divBdr>
        <w:top w:val="none" w:sz="0" w:space="0" w:color="auto"/>
        <w:left w:val="none" w:sz="0" w:space="0" w:color="auto"/>
        <w:bottom w:val="none" w:sz="0" w:space="0" w:color="auto"/>
        <w:right w:val="none" w:sz="0" w:space="0" w:color="auto"/>
      </w:divBdr>
    </w:div>
    <w:div w:id="348605104">
      <w:bodyDiv w:val="1"/>
      <w:marLeft w:val="0"/>
      <w:marRight w:val="0"/>
      <w:marTop w:val="0"/>
      <w:marBottom w:val="0"/>
      <w:divBdr>
        <w:top w:val="none" w:sz="0" w:space="0" w:color="auto"/>
        <w:left w:val="none" w:sz="0" w:space="0" w:color="auto"/>
        <w:bottom w:val="none" w:sz="0" w:space="0" w:color="auto"/>
        <w:right w:val="none" w:sz="0" w:space="0" w:color="auto"/>
      </w:divBdr>
      <w:divsChild>
        <w:div w:id="1851334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263773">
              <w:marLeft w:val="0"/>
              <w:marRight w:val="0"/>
              <w:marTop w:val="0"/>
              <w:marBottom w:val="0"/>
              <w:divBdr>
                <w:top w:val="none" w:sz="0" w:space="0" w:color="auto"/>
                <w:left w:val="none" w:sz="0" w:space="0" w:color="auto"/>
                <w:bottom w:val="none" w:sz="0" w:space="0" w:color="auto"/>
                <w:right w:val="none" w:sz="0" w:space="0" w:color="auto"/>
              </w:divBdr>
              <w:divsChild>
                <w:div w:id="1145856147">
                  <w:marLeft w:val="0"/>
                  <w:marRight w:val="0"/>
                  <w:marTop w:val="0"/>
                  <w:marBottom w:val="0"/>
                  <w:divBdr>
                    <w:top w:val="none" w:sz="0" w:space="0" w:color="auto"/>
                    <w:left w:val="none" w:sz="0" w:space="0" w:color="auto"/>
                    <w:bottom w:val="none" w:sz="0" w:space="0" w:color="auto"/>
                    <w:right w:val="none" w:sz="0" w:space="0" w:color="auto"/>
                  </w:divBdr>
                  <w:divsChild>
                    <w:div w:id="1707756865">
                      <w:marLeft w:val="0"/>
                      <w:marRight w:val="0"/>
                      <w:marTop w:val="0"/>
                      <w:marBottom w:val="0"/>
                      <w:divBdr>
                        <w:top w:val="none" w:sz="0" w:space="0" w:color="auto"/>
                        <w:left w:val="none" w:sz="0" w:space="0" w:color="auto"/>
                        <w:bottom w:val="none" w:sz="0" w:space="0" w:color="auto"/>
                        <w:right w:val="none" w:sz="0" w:space="0" w:color="auto"/>
                      </w:divBdr>
                      <w:divsChild>
                        <w:div w:id="11485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334151">
      <w:bodyDiv w:val="1"/>
      <w:marLeft w:val="0"/>
      <w:marRight w:val="0"/>
      <w:marTop w:val="0"/>
      <w:marBottom w:val="0"/>
      <w:divBdr>
        <w:top w:val="none" w:sz="0" w:space="0" w:color="auto"/>
        <w:left w:val="none" w:sz="0" w:space="0" w:color="auto"/>
        <w:bottom w:val="none" w:sz="0" w:space="0" w:color="auto"/>
        <w:right w:val="none" w:sz="0" w:space="0" w:color="auto"/>
      </w:divBdr>
    </w:div>
    <w:div w:id="369112278">
      <w:bodyDiv w:val="1"/>
      <w:marLeft w:val="0"/>
      <w:marRight w:val="0"/>
      <w:marTop w:val="0"/>
      <w:marBottom w:val="0"/>
      <w:divBdr>
        <w:top w:val="none" w:sz="0" w:space="0" w:color="auto"/>
        <w:left w:val="none" w:sz="0" w:space="0" w:color="auto"/>
        <w:bottom w:val="none" w:sz="0" w:space="0" w:color="auto"/>
        <w:right w:val="none" w:sz="0" w:space="0" w:color="auto"/>
      </w:divBdr>
    </w:div>
    <w:div w:id="494958551">
      <w:bodyDiv w:val="1"/>
      <w:marLeft w:val="0"/>
      <w:marRight w:val="0"/>
      <w:marTop w:val="0"/>
      <w:marBottom w:val="0"/>
      <w:divBdr>
        <w:top w:val="none" w:sz="0" w:space="0" w:color="auto"/>
        <w:left w:val="none" w:sz="0" w:space="0" w:color="auto"/>
        <w:bottom w:val="none" w:sz="0" w:space="0" w:color="auto"/>
        <w:right w:val="none" w:sz="0" w:space="0" w:color="auto"/>
      </w:divBdr>
    </w:div>
    <w:div w:id="595796209">
      <w:bodyDiv w:val="1"/>
      <w:marLeft w:val="0"/>
      <w:marRight w:val="0"/>
      <w:marTop w:val="0"/>
      <w:marBottom w:val="0"/>
      <w:divBdr>
        <w:top w:val="none" w:sz="0" w:space="0" w:color="auto"/>
        <w:left w:val="none" w:sz="0" w:space="0" w:color="auto"/>
        <w:bottom w:val="none" w:sz="0" w:space="0" w:color="auto"/>
        <w:right w:val="none" w:sz="0" w:space="0" w:color="auto"/>
      </w:divBdr>
    </w:div>
    <w:div w:id="606085532">
      <w:bodyDiv w:val="1"/>
      <w:marLeft w:val="0"/>
      <w:marRight w:val="0"/>
      <w:marTop w:val="0"/>
      <w:marBottom w:val="0"/>
      <w:divBdr>
        <w:top w:val="none" w:sz="0" w:space="0" w:color="auto"/>
        <w:left w:val="none" w:sz="0" w:space="0" w:color="auto"/>
        <w:bottom w:val="none" w:sz="0" w:space="0" w:color="auto"/>
        <w:right w:val="none" w:sz="0" w:space="0" w:color="auto"/>
      </w:divBdr>
    </w:div>
    <w:div w:id="618880053">
      <w:bodyDiv w:val="1"/>
      <w:marLeft w:val="0"/>
      <w:marRight w:val="0"/>
      <w:marTop w:val="0"/>
      <w:marBottom w:val="0"/>
      <w:divBdr>
        <w:top w:val="none" w:sz="0" w:space="0" w:color="auto"/>
        <w:left w:val="none" w:sz="0" w:space="0" w:color="auto"/>
        <w:bottom w:val="none" w:sz="0" w:space="0" w:color="auto"/>
        <w:right w:val="none" w:sz="0" w:space="0" w:color="auto"/>
      </w:divBdr>
    </w:div>
    <w:div w:id="661741548">
      <w:bodyDiv w:val="1"/>
      <w:marLeft w:val="0"/>
      <w:marRight w:val="0"/>
      <w:marTop w:val="0"/>
      <w:marBottom w:val="0"/>
      <w:divBdr>
        <w:top w:val="none" w:sz="0" w:space="0" w:color="auto"/>
        <w:left w:val="none" w:sz="0" w:space="0" w:color="auto"/>
        <w:bottom w:val="none" w:sz="0" w:space="0" w:color="auto"/>
        <w:right w:val="none" w:sz="0" w:space="0" w:color="auto"/>
      </w:divBdr>
    </w:div>
    <w:div w:id="710692423">
      <w:bodyDiv w:val="1"/>
      <w:marLeft w:val="0"/>
      <w:marRight w:val="0"/>
      <w:marTop w:val="0"/>
      <w:marBottom w:val="0"/>
      <w:divBdr>
        <w:top w:val="none" w:sz="0" w:space="0" w:color="auto"/>
        <w:left w:val="none" w:sz="0" w:space="0" w:color="auto"/>
        <w:bottom w:val="none" w:sz="0" w:space="0" w:color="auto"/>
        <w:right w:val="none" w:sz="0" w:space="0" w:color="auto"/>
      </w:divBdr>
      <w:divsChild>
        <w:div w:id="491334767">
          <w:marLeft w:val="0"/>
          <w:marRight w:val="0"/>
          <w:marTop w:val="0"/>
          <w:marBottom w:val="0"/>
          <w:divBdr>
            <w:top w:val="none" w:sz="0" w:space="0" w:color="auto"/>
            <w:left w:val="none" w:sz="0" w:space="0" w:color="auto"/>
            <w:bottom w:val="none" w:sz="0" w:space="0" w:color="auto"/>
            <w:right w:val="none" w:sz="0" w:space="0" w:color="auto"/>
          </w:divBdr>
        </w:div>
        <w:div w:id="848058973">
          <w:marLeft w:val="0"/>
          <w:marRight w:val="0"/>
          <w:marTop w:val="0"/>
          <w:marBottom w:val="0"/>
          <w:divBdr>
            <w:top w:val="none" w:sz="0" w:space="0" w:color="auto"/>
            <w:left w:val="none" w:sz="0" w:space="0" w:color="auto"/>
            <w:bottom w:val="none" w:sz="0" w:space="0" w:color="auto"/>
            <w:right w:val="none" w:sz="0" w:space="0" w:color="auto"/>
          </w:divBdr>
        </w:div>
        <w:div w:id="1318264523">
          <w:marLeft w:val="0"/>
          <w:marRight w:val="0"/>
          <w:marTop w:val="0"/>
          <w:marBottom w:val="0"/>
          <w:divBdr>
            <w:top w:val="none" w:sz="0" w:space="0" w:color="auto"/>
            <w:left w:val="none" w:sz="0" w:space="0" w:color="auto"/>
            <w:bottom w:val="none" w:sz="0" w:space="0" w:color="auto"/>
            <w:right w:val="none" w:sz="0" w:space="0" w:color="auto"/>
          </w:divBdr>
        </w:div>
        <w:div w:id="1756514903">
          <w:marLeft w:val="0"/>
          <w:marRight w:val="0"/>
          <w:marTop w:val="0"/>
          <w:marBottom w:val="0"/>
          <w:divBdr>
            <w:top w:val="none" w:sz="0" w:space="0" w:color="auto"/>
            <w:left w:val="none" w:sz="0" w:space="0" w:color="auto"/>
            <w:bottom w:val="none" w:sz="0" w:space="0" w:color="auto"/>
            <w:right w:val="none" w:sz="0" w:space="0" w:color="auto"/>
          </w:divBdr>
        </w:div>
        <w:div w:id="2111313944">
          <w:marLeft w:val="0"/>
          <w:marRight w:val="0"/>
          <w:marTop w:val="0"/>
          <w:marBottom w:val="0"/>
          <w:divBdr>
            <w:top w:val="none" w:sz="0" w:space="0" w:color="auto"/>
            <w:left w:val="none" w:sz="0" w:space="0" w:color="auto"/>
            <w:bottom w:val="none" w:sz="0" w:space="0" w:color="auto"/>
            <w:right w:val="none" w:sz="0" w:space="0" w:color="auto"/>
          </w:divBdr>
        </w:div>
        <w:div w:id="1356299519">
          <w:marLeft w:val="0"/>
          <w:marRight w:val="0"/>
          <w:marTop w:val="0"/>
          <w:marBottom w:val="0"/>
          <w:divBdr>
            <w:top w:val="none" w:sz="0" w:space="0" w:color="auto"/>
            <w:left w:val="none" w:sz="0" w:space="0" w:color="auto"/>
            <w:bottom w:val="none" w:sz="0" w:space="0" w:color="auto"/>
            <w:right w:val="none" w:sz="0" w:space="0" w:color="auto"/>
          </w:divBdr>
        </w:div>
        <w:div w:id="1869097341">
          <w:marLeft w:val="0"/>
          <w:marRight w:val="0"/>
          <w:marTop w:val="0"/>
          <w:marBottom w:val="0"/>
          <w:divBdr>
            <w:top w:val="none" w:sz="0" w:space="0" w:color="auto"/>
            <w:left w:val="none" w:sz="0" w:space="0" w:color="auto"/>
            <w:bottom w:val="none" w:sz="0" w:space="0" w:color="auto"/>
            <w:right w:val="none" w:sz="0" w:space="0" w:color="auto"/>
          </w:divBdr>
        </w:div>
      </w:divsChild>
    </w:div>
    <w:div w:id="764568516">
      <w:bodyDiv w:val="1"/>
      <w:marLeft w:val="0"/>
      <w:marRight w:val="0"/>
      <w:marTop w:val="0"/>
      <w:marBottom w:val="0"/>
      <w:divBdr>
        <w:top w:val="none" w:sz="0" w:space="0" w:color="auto"/>
        <w:left w:val="none" w:sz="0" w:space="0" w:color="auto"/>
        <w:bottom w:val="none" w:sz="0" w:space="0" w:color="auto"/>
        <w:right w:val="none" w:sz="0" w:space="0" w:color="auto"/>
      </w:divBdr>
    </w:div>
    <w:div w:id="827403872">
      <w:bodyDiv w:val="1"/>
      <w:marLeft w:val="0"/>
      <w:marRight w:val="0"/>
      <w:marTop w:val="0"/>
      <w:marBottom w:val="0"/>
      <w:divBdr>
        <w:top w:val="none" w:sz="0" w:space="0" w:color="auto"/>
        <w:left w:val="none" w:sz="0" w:space="0" w:color="auto"/>
        <w:bottom w:val="none" w:sz="0" w:space="0" w:color="auto"/>
        <w:right w:val="none" w:sz="0" w:space="0" w:color="auto"/>
      </w:divBdr>
    </w:div>
    <w:div w:id="901982331">
      <w:bodyDiv w:val="1"/>
      <w:marLeft w:val="0"/>
      <w:marRight w:val="0"/>
      <w:marTop w:val="0"/>
      <w:marBottom w:val="0"/>
      <w:divBdr>
        <w:top w:val="none" w:sz="0" w:space="0" w:color="auto"/>
        <w:left w:val="none" w:sz="0" w:space="0" w:color="auto"/>
        <w:bottom w:val="none" w:sz="0" w:space="0" w:color="auto"/>
        <w:right w:val="none" w:sz="0" w:space="0" w:color="auto"/>
      </w:divBdr>
    </w:div>
    <w:div w:id="921990208">
      <w:bodyDiv w:val="1"/>
      <w:marLeft w:val="0"/>
      <w:marRight w:val="0"/>
      <w:marTop w:val="0"/>
      <w:marBottom w:val="0"/>
      <w:divBdr>
        <w:top w:val="none" w:sz="0" w:space="0" w:color="auto"/>
        <w:left w:val="none" w:sz="0" w:space="0" w:color="auto"/>
        <w:bottom w:val="none" w:sz="0" w:space="0" w:color="auto"/>
        <w:right w:val="none" w:sz="0" w:space="0" w:color="auto"/>
      </w:divBdr>
    </w:div>
    <w:div w:id="943807345">
      <w:bodyDiv w:val="1"/>
      <w:marLeft w:val="0"/>
      <w:marRight w:val="0"/>
      <w:marTop w:val="0"/>
      <w:marBottom w:val="0"/>
      <w:divBdr>
        <w:top w:val="none" w:sz="0" w:space="0" w:color="auto"/>
        <w:left w:val="none" w:sz="0" w:space="0" w:color="auto"/>
        <w:bottom w:val="none" w:sz="0" w:space="0" w:color="auto"/>
        <w:right w:val="none" w:sz="0" w:space="0" w:color="auto"/>
      </w:divBdr>
    </w:div>
    <w:div w:id="987246306">
      <w:bodyDiv w:val="1"/>
      <w:marLeft w:val="0"/>
      <w:marRight w:val="0"/>
      <w:marTop w:val="0"/>
      <w:marBottom w:val="0"/>
      <w:divBdr>
        <w:top w:val="none" w:sz="0" w:space="0" w:color="auto"/>
        <w:left w:val="none" w:sz="0" w:space="0" w:color="auto"/>
        <w:bottom w:val="none" w:sz="0" w:space="0" w:color="auto"/>
        <w:right w:val="none" w:sz="0" w:space="0" w:color="auto"/>
      </w:divBdr>
    </w:div>
    <w:div w:id="1064570047">
      <w:bodyDiv w:val="1"/>
      <w:marLeft w:val="0"/>
      <w:marRight w:val="0"/>
      <w:marTop w:val="0"/>
      <w:marBottom w:val="0"/>
      <w:divBdr>
        <w:top w:val="none" w:sz="0" w:space="0" w:color="auto"/>
        <w:left w:val="none" w:sz="0" w:space="0" w:color="auto"/>
        <w:bottom w:val="none" w:sz="0" w:space="0" w:color="auto"/>
        <w:right w:val="none" w:sz="0" w:space="0" w:color="auto"/>
      </w:divBdr>
    </w:div>
    <w:div w:id="1151143212">
      <w:bodyDiv w:val="1"/>
      <w:marLeft w:val="0"/>
      <w:marRight w:val="0"/>
      <w:marTop w:val="0"/>
      <w:marBottom w:val="0"/>
      <w:divBdr>
        <w:top w:val="none" w:sz="0" w:space="0" w:color="auto"/>
        <w:left w:val="none" w:sz="0" w:space="0" w:color="auto"/>
        <w:bottom w:val="none" w:sz="0" w:space="0" w:color="auto"/>
        <w:right w:val="none" w:sz="0" w:space="0" w:color="auto"/>
      </w:divBdr>
    </w:div>
    <w:div w:id="1190559123">
      <w:bodyDiv w:val="1"/>
      <w:marLeft w:val="0"/>
      <w:marRight w:val="0"/>
      <w:marTop w:val="0"/>
      <w:marBottom w:val="0"/>
      <w:divBdr>
        <w:top w:val="none" w:sz="0" w:space="0" w:color="auto"/>
        <w:left w:val="none" w:sz="0" w:space="0" w:color="auto"/>
        <w:bottom w:val="none" w:sz="0" w:space="0" w:color="auto"/>
        <w:right w:val="none" w:sz="0" w:space="0" w:color="auto"/>
      </w:divBdr>
    </w:div>
    <w:div w:id="1221986535">
      <w:bodyDiv w:val="1"/>
      <w:marLeft w:val="0"/>
      <w:marRight w:val="0"/>
      <w:marTop w:val="0"/>
      <w:marBottom w:val="0"/>
      <w:divBdr>
        <w:top w:val="none" w:sz="0" w:space="0" w:color="auto"/>
        <w:left w:val="none" w:sz="0" w:space="0" w:color="auto"/>
        <w:bottom w:val="none" w:sz="0" w:space="0" w:color="auto"/>
        <w:right w:val="none" w:sz="0" w:space="0" w:color="auto"/>
      </w:divBdr>
    </w:div>
    <w:div w:id="1239944663">
      <w:bodyDiv w:val="1"/>
      <w:marLeft w:val="0"/>
      <w:marRight w:val="0"/>
      <w:marTop w:val="0"/>
      <w:marBottom w:val="0"/>
      <w:divBdr>
        <w:top w:val="none" w:sz="0" w:space="0" w:color="auto"/>
        <w:left w:val="none" w:sz="0" w:space="0" w:color="auto"/>
        <w:bottom w:val="none" w:sz="0" w:space="0" w:color="auto"/>
        <w:right w:val="none" w:sz="0" w:space="0" w:color="auto"/>
      </w:divBdr>
    </w:div>
    <w:div w:id="1310402875">
      <w:bodyDiv w:val="1"/>
      <w:marLeft w:val="0"/>
      <w:marRight w:val="0"/>
      <w:marTop w:val="0"/>
      <w:marBottom w:val="0"/>
      <w:divBdr>
        <w:top w:val="none" w:sz="0" w:space="0" w:color="auto"/>
        <w:left w:val="none" w:sz="0" w:space="0" w:color="auto"/>
        <w:bottom w:val="none" w:sz="0" w:space="0" w:color="auto"/>
        <w:right w:val="none" w:sz="0" w:space="0" w:color="auto"/>
      </w:divBdr>
    </w:div>
    <w:div w:id="1411198475">
      <w:bodyDiv w:val="1"/>
      <w:marLeft w:val="0"/>
      <w:marRight w:val="0"/>
      <w:marTop w:val="0"/>
      <w:marBottom w:val="0"/>
      <w:divBdr>
        <w:top w:val="none" w:sz="0" w:space="0" w:color="auto"/>
        <w:left w:val="none" w:sz="0" w:space="0" w:color="auto"/>
        <w:bottom w:val="none" w:sz="0" w:space="0" w:color="auto"/>
        <w:right w:val="none" w:sz="0" w:space="0" w:color="auto"/>
      </w:divBdr>
    </w:div>
    <w:div w:id="1445732082">
      <w:bodyDiv w:val="1"/>
      <w:marLeft w:val="0"/>
      <w:marRight w:val="0"/>
      <w:marTop w:val="0"/>
      <w:marBottom w:val="0"/>
      <w:divBdr>
        <w:top w:val="none" w:sz="0" w:space="0" w:color="auto"/>
        <w:left w:val="none" w:sz="0" w:space="0" w:color="auto"/>
        <w:bottom w:val="none" w:sz="0" w:space="0" w:color="auto"/>
        <w:right w:val="none" w:sz="0" w:space="0" w:color="auto"/>
      </w:divBdr>
    </w:div>
    <w:div w:id="1465198403">
      <w:bodyDiv w:val="1"/>
      <w:marLeft w:val="0"/>
      <w:marRight w:val="0"/>
      <w:marTop w:val="0"/>
      <w:marBottom w:val="0"/>
      <w:divBdr>
        <w:top w:val="none" w:sz="0" w:space="0" w:color="auto"/>
        <w:left w:val="none" w:sz="0" w:space="0" w:color="auto"/>
        <w:bottom w:val="none" w:sz="0" w:space="0" w:color="auto"/>
        <w:right w:val="none" w:sz="0" w:space="0" w:color="auto"/>
      </w:divBdr>
      <w:divsChild>
        <w:div w:id="1430197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216199">
              <w:marLeft w:val="0"/>
              <w:marRight w:val="0"/>
              <w:marTop w:val="0"/>
              <w:marBottom w:val="0"/>
              <w:divBdr>
                <w:top w:val="none" w:sz="0" w:space="0" w:color="auto"/>
                <w:left w:val="none" w:sz="0" w:space="0" w:color="auto"/>
                <w:bottom w:val="none" w:sz="0" w:space="0" w:color="auto"/>
                <w:right w:val="none" w:sz="0" w:space="0" w:color="auto"/>
              </w:divBdr>
              <w:divsChild>
                <w:div w:id="19269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1675">
      <w:bodyDiv w:val="1"/>
      <w:marLeft w:val="0"/>
      <w:marRight w:val="0"/>
      <w:marTop w:val="0"/>
      <w:marBottom w:val="0"/>
      <w:divBdr>
        <w:top w:val="none" w:sz="0" w:space="0" w:color="auto"/>
        <w:left w:val="none" w:sz="0" w:space="0" w:color="auto"/>
        <w:bottom w:val="none" w:sz="0" w:space="0" w:color="auto"/>
        <w:right w:val="none" w:sz="0" w:space="0" w:color="auto"/>
      </w:divBdr>
    </w:div>
    <w:div w:id="1497305070">
      <w:bodyDiv w:val="1"/>
      <w:marLeft w:val="0"/>
      <w:marRight w:val="0"/>
      <w:marTop w:val="0"/>
      <w:marBottom w:val="0"/>
      <w:divBdr>
        <w:top w:val="none" w:sz="0" w:space="0" w:color="auto"/>
        <w:left w:val="none" w:sz="0" w:space="0" w:color="auto"/>
        <w:bottom w:val="none" w:sz="0" w:space="0" w:color="auto"/>
        <w:right w:val="none" w:sz="0" w:space="0" w:color="auto"/>
      </w:divBdr>
    </w:div>
    <w:div w:id="1628900652">
      <w:bodyDiv w:val="1"/>
      <w:marLeft w:val="0"/>
      <w:marRight w:val="0"/>
      <w:marTop w:val="0"/>
      <w:marBottom w:val="0"/>
      <w:divBdr>
        <w:top w:val="none" w:sz="0" w:space="0" w:color="auto"/>
        <w:left w:val="none" w:sz="0" w:space="0" w:color="auto"/>
        <w:bottom w:val="none" w:sz="0" w:space="0" w:color="auto"/>
        <w:right w:val="none" w:sz="0" w:space="0" w:color="auto"/>
      </w:divBdr>
    </w:div>
    <w:div w:id="1649823297">
      <w:bodyDiv w:val="1"/>
      <w:marLeft w:val="0"/>
      <w:marRight w:val="0"/>
      <w:marTop w:val="0"/>
      <w:marBottom w:val="0"/>
      <w:divBdr>
        <w:top w:val="none" w:sz="0" w:space="0" w:color="auto"/>
        <w:left w:val="none" w:sz="0" w:space="0" w:color="auto"/>
        <w:bottom w:val="none" w:sz="0" w:space="0" w:color="auto"/>
        <w:right w:val="none" w:sz="0" w:space="0" w:color="auto"/>
      </w:divBdr>
    </w:div>
    <w:div w:id="1736974655">
      <w:bodyDiv w:val="1"/>
      <w:marLeft w:val="0"/>
      <w:marRight w:val="0"/>
      <w:marTop w:val="0"/>
      <w:marBottom w:val="0"/>
      <w:divBdr>
        <w:top w:val="none" w:sz="0" w:space="0" w:color="auto"/>
        <w:left w:val="none" w:sz="0" w:space="0" w:color="auto"/>
        <w:bottom w:val="none" w:sz="0" w:space="0" w:color="auto"/>
        <w:right w:val="none" w:sz="0" w:space="0" w:color="auto"/>
      </w:divBdr>
    </w:div>
    <w:div w:id="1760446715">
      <w:bodyDiv w:val="1"/>
      <w:marLeft w:val="0"/>
      <w:marRight w:val="0"/>
      <w:marTop w:val="0"/>
      <w:marBottom w:val="0"/>
      <w:divBdr>
        <w:top w:val="none" w:sz="0" w:space="0" w:color="auto"/>
        <w:left w:val="none" w:sz="0" w:space="0" w:color="auto"/>
        <w:bottom w:val="none" w:sz="0" w:space="0" w:color="auto"/>
        <w:right w:val="none" w:sz="0" w:space="0" w:color="auto"/>
      </w:divBdr>
    </w:div>
    <w:div w:id="1963804298">
      <w:bodyDiv w:val="1"/>
      <w:marLeft w:val="0"/>
      <w:marRight w:val="0"/>
      <w:marTop w:val="0"/>
      <w:marBottom w:val="0"/>
      <w:divBdr>
        <w:top w:val="none" w:sz="0" w:space="0" w:color="auto"/>
        <w:left w:val="none" w:sz="0" w:space="0" w:color="auto"/>
        <w:bottom w:val="none" w:sz="0" w:space="0" w:color="auto"/>
        <w:right w:val="none" w:sz="0" w:space="0" w:color="auto"/>
      </w:divBdr>
      <w:divsChild>
        <w:div w:id="2123262294">
          <w:marLeft w:val="0"/>
          <w:marRight w:val="0"/>
          <w:marTop w:val="0"/>
          <w:marBottom w:val="0"/>
          <w:divBdr>
            <w:top w:val="none" w:sz="0" w:space="0" w:color="auto"/>
            <w:left w:val="none" w:sz="0" w:space="0" w:color="auto"/>
            <w:bottom w:val="none" w:sz="0" w:space="0" w:color="auto"/>
            <w:right w:val="none" w:sz="0" w:space="0" w:color="auto"/>
          </w:divBdr>
        </w:div>
        <w:div w:id="759565925">
          <w:marLeft w:val="0"/>
          <w:marRight w:val="0"/>
          <w:marTop w:val="0"/>
          <w:marBottom w:val="0"/>
          <w:divBdr>
            <w:top w:val="none" w:sz="0" w:space="0" w:color="auto"/>
            <w:left w:val="none" w:sz="0" w:space="0" w:color="auto"/>
            <w:bottom w:val="none" w:sz="0" w:space="0" w:color="auto"/>
            <w:right w:val="none" w:sz="0" w:space="0" w:color="auto"/>
          </w:divBdr>
        </w:div>
        <w:div w:id="854073903">
          <w:marLeft w:val="0"/>
          <w:marRight w:val="0"/>
          <w:marTop w:val="0"/>
          <w:marBottom w:val="0"/>
          <w:divBdr>
            <w:top w:val="none" w:sz="0" w:space="0" w:color="auto"/>
            <w:left w:val="none" w:sz="0" w:space="0" w:color="auto"/>
            <w:bottom w:val="none" w:sz="0" w:space="0" w:color="auto"/>
            <w:right w:val="none" w:sz="0" w:space="0" w:color="auto"/>
          </w:divBdr>
        </w:div>
      </w:divsChild>
    </w:div>
    <w:div w:id="1974211633">
      <w:bodyDiv w:val="1"/>
      <w:marLeft w:val="0"/>
      <w:marRight w:val="0"/>
      <w:marTop w:val="0"/>
      <w:marBottom w:val="0"/>
      <w:divBdr>
        <w:top w:val="none" w:sz="0" w:space="0" w:color="auto"/>
        <w:left w:val="none" w:sz="0" w:space="0" w:color="auto"/>
        <w:bottom w:val="none" w:sz="0" w:space="0" w:color="auto"/>
        <w:right w:val="none" w:sz="0" w:space="0" w:color="auto"/>
      </w:divBdr>
    </w:div>
    <w:div w:id="2002275064">
      <w:bodyDiv w:val="1"/>
      <w:marLeft w:val="0"/>
      <w:marRight w:val="0"/>
      <w:marTop w:val="0"/>
      <w:marBottom w:val="0"/>
      <w:divBdr>
        <w:top w:val="none" w:sz="0" w:space="0" w:color="auto"/>
        <w:left w:val="none" w:sz="0" w:space="0" w:color="auto"/>
        <w:bottom w:val="none" w:sz="0" w:space="0" w:color="auto"/>
        <w:right w:val="none" w:sz="0" w:space="0" w:color="auto"/>
      </w:divBdr>
    </w:div>
    <w:div w:id="2024894349">
      <w:bodyDiv w:val="1"/>
      <w:marLeft w:val="0"/>
      <w:marRight w:val="0"/>
      <w:marTop w:val="0"/>
      <w:marBottom w:val="0"/>
      <w:divBdr>
        <w:top w:val="none" w:sz="0" w:space="0" w:color="auto"/>
        <w:left w:val="none" w:sz="0" w:space="0" w:color="auto"/>
        <w:bottom w:val="none" w:sz="0" w:space="0" w:color="auto"/>
        <w:right w:val="none" w:sz="0" w:space="0" w:color="auto"/>
      </w:divBdr>
      <w:divsChild>
        <w:div w:id="1773165721">
          <w:marLeft w:val="0"/>
          <w:marRight w:val="0"/>
          <w:marTop w:val="0"/>
          <w:marBottom w:val="0"/>
          <w:divBdr>
            <w:top w:val="none" w:sz="0" w:space="0" w:color="auto"/>
            <w:left w:val="none" w:sz="0" w:space="0" w:color="auto"/>
            <w:bottom w:val="none" w:sz="0" w:space="0" w:color="auto"/>
            <w:right w:val="none" w:sz="0" w:space="0" w:color="auto"/>
          </w:divBdr>
        </w:div>
        <w:div w:id="87048683">
          <w:marLeft w:val="0"/>
          <w:marRight w:val="0"/>
          <w:marTop w:val="0"/>
          <w:marBottom w:val="0"/>
          <w:divBdr>
            <w:top w:val="none" w:sz="0" w:space="0" w:color="auto"/>
            <w:left w:val="none" w:sz="0" w:space="0" w:color="auto"/>
            <w:bottom w:val="none" w:sz="0" w:space="0" w:color="auto"/>
            <w:right w:val="none" w:sz="0" w:space="0" w:color="auto"/>
          </w:divBdr>
        </w:div>
        <w:div w:id="1840807380">
          <w:marLeft w:val="0"/>
          <w:marRight w:val="0"/>
          <w:marTop w:val="0"/>
          <w:marBottom w:val="0"/>
          <w:divBdr>
            <w:top w:val="none" w:sz="0" w:space="0" w:color="auto"/>
            <w:left w:val="none" w:sz="0" w:space="0" w:color="auto"/>
            <w:bottom w:val="none" w:sz="0" w:space="0" w:color="auto"/>
            <w:right w:val="none" w:sz="0" w:space="0" w:color="auto"/>
          </w:divBdr>
        </w:div>
        <w:div w:id="1338650812">
          <w:marLeft w:val="0"/>
          <w:marRight w:val="0"/>
          <w:marTop w:val="0"/>
          <w:marBottom w:val="0"/>
          <w:divBdr>
            <w:top w:val="none" w:sz="0" w:space="0" w:color="auto"/>
            <w:left w:val="none" w:sz="0" w:space="0" w:color="auto"/>
            <w:bottom w:val="none" w:sz="0" w:space="0" w:color="auto"/>
            <w:right w:val="none" w:sz="0" w:space="0" w:color="auto"/>
          </w:divBdr>
        </w:div>
        <w:div w:id="836532641">
          <w:marLeft w:val="0"/>
          <w:marRight w:val="0"/>
          <w:marTop w:val="0"/>
          <w:marBottom w:val="0"/>
          <w:divBdr>
            <w:top w:val="none" w:sz="0" w:space="0" w:color="auto"/>
            <w:left w:val="none" w:sz="0" w:space="0" w:color="auto"/>
            <w:bottom w:val="none" w:sz="0" w:space="0" w:color="auto"/>
            <w:right w:val="none" w:sz="0" w:space="0" w:color="auto"/>
          </w:divBdr>
        </w:div>
        <w:div w:id="1204908206">
          <w:marLeft w:val="0"/>
          <w:marRight w:val="0"/>
          <w:marTop w:val="0"/>
          <w:marBottom w:val="0"/>
          <w:divBdr>
            <w:top w:val="none" w:sz="0" w:space="0" w:color="auto"/>
            <w:left w:val="none" w:sz="0" w:space="0" w:color="auto"/>
            <w:bottom w:val="none" w:sz="0" w:space="0" w:color="auto"/>
            <w:right w:val="none" w:sz="0" w:space="0" w:color="auto"/>
          </w:divBdr>
        </w:div>
        <w:div w:id="2051570793">
          <w:marLeft w:val="0"/>
          <w:marRight w:val="0"/>
          <w:marTop w:val="0"/>
          <w:marBottom w:val="0"/>
          <w:divBdr>
            <w:top w:val="none" w:sz="0" w:space="0" w:color="auto"/>
            <w:left w:val="none" w:sz="0" w:space="0" w:color="auto"/>
            <w:bottom w:val="none" w:sz="0" w:space="0" w:color="auto"/>
            <w:right w:val="none" w:sz="0" w:space="0" w:color="auto"/>
          </w:divBdr>
        </w:div>
      </w:divsChild>
    </w:div>
    <w:div w:id="2035031978">
      <w:bodyDiv w:val="1"/>
      <w:marLeft w:val="0"/>
      <w:marRight w:val="0"/>
      <w:marTop w:val="0"/>
      <w:marBottom w:val="0"/>
      <w:divBdr>
        <w:top w:val="none" w:sz="0" w:space="0" w:color="auto"/>
        <w:left w:val="none" w:sz="0" w:space="0" w:color="auto"/>
        <w:bottom w:val="none" w:sz="0" w:space="0" w:color="auto"/>
        <w:right w:val="none" w:sz="0" w:space="0" w:color="auto"/>
      </w:divBdr>
    </w:div>
    <w:div w:id="2040007844">
      <w:bodyDiv w:val="1"/>
      <w:marLeft w:val="0"/>
      <w:marRight w:val="0"/>
      <w:marTop w:val="0"/>
      <w:marBottom w:val="0"/>
      <w:divBdr>
        <w:top w:val="none" w:sz="0" w:space="0" w:color="auto"/>
        <w:left w:val="none" w:sz="0" w:space="0" w:color="auto"/>
        <w:bottom w:val="none" w:sz="0" w:space="0" w:color="auto"/>
        <w:right w:val="none" w:sz="0" w:space="0" w:color="auto"/>
      </w:divBdr>
    </w:div>
    <w:div w:id="2073385141">
      <w:bodyDiv w:val="1"/>
      <w:marLeft w:val="0"/>
      <w:marRight w:val="0"/>
      <w:marTop w:val="0"/>
      <w:marBottom w:val="0"/>
      <w:divBdr>
        <w:top w:val="none" w:sz="0" w:space="0" w:color="auto"/>
        <w:left w:val="none" w:sz="0" w:space="0" w:color="auto"/>
        <w:bottom w:val="none" w:sz="0" w:space="0" w:color="auto"/>
        <w:right w:val="none" w:sz="0" w:space="0" w:color="auto"/>
      </w:divBdr>
    </w:div>
    <w:div w:id="209219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fp.cuni.cz" TargetMode="External"/><Relationship Id="rId26" Type="http://schemas.openxmlformats.org/officeDocument/2006/relationships/image" Target="media/image13.emf"/><Relationship Id="rId39" Type="http://schemas.openxmlformats.org/officeDocument/2006/relationships/image" Target="media/image25.emf"/><Relationship Id="rId21" Type="http://schemas.openxmlformats.org/officeDocument/2006/relationships/chart" Target="charts/chart1.xml"/><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f2.cuni.cz" TargetMode="External"/><Relationship Id="rId23" Type="http://schemas.openxmlformats.org/officeDocument/2006/relationships/chart" Target="charts/chart3.xml"/><Relationship Id="rId28" Type="http://schemas.openxmlformats.org/officeDocument/2006/relationships/image" Target="media/image14.emf"/><Relationship Id="rId36" Type="http://schemas.openxmlformats.org/officeDocument/2006/relationships/image" Target="media/image22.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17.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hyperlink" Target="https://gynpo.lf1.cuni.cz/en/profile-of-the-clinic-8208" TargetMode="External"/><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27.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Papers with </a:t>
            </a:r>
            <a:r>
              <a:rPr lang="en-GB" b="1" baseline="0">
                <a:solidFill>
                  <a:sysClr val="windowText" lastClr="000000"/>
                </a:solidFill>
              </a:rPr>
              <a:t>first </a:t>
            </a:r>
            <a:r>
              <a:rPr lang="en-GB" b="1" u="sng" baseline="0">
                <a:solidFill>
                  <a:sysClr val="windowText" lastClr="000000"/>
                </a:solidFill>
              </a:rPr>
              <a:t>AND</a:t>
            </a:r>
            <a:r>
              <a:rPr lang="en-GB" b="1" baseline="0">
                <a:solidFill>
                  <a:sysClr val="windowText" lastClr="000000"/>
                </a:solidFill>
              </a:rPr>
              <a:t> last CUNI authorship</a:t>
            </a:r>
            <a:endParaRPr lang="en-GB" b="1">
              <a:solidFill>
                <a:sysClr val="windowText" lastClr="000000"/>
              </a:solidFill>
            </a:endParaRPr>
          </a:p>
        </c:rich>
      </c:tx>
      <c:overlay val="0"/>
      <c:spPr>
        <a:noFill/>
        <a:ln>
          <a:noFill/>
        </a:ln>
        <a:effectLst/>
      </c:spPr>
    </c:title>
    <c:autoTitleDeleted val="0"/>
    <c:plotArea>
      <c:layout>
        <c:manualLayout>
          <c:layoutTarget val="inner"/>
          <c:xMode val="edge"/>
          <c:yMode val="edge"/>
          <c:x val="0.12548381452318499"/>
          <c:y val="0.17171296296296301"/>
          <c:w val="0.84396062992125997"/>
          <c:h val="0.45885684897495899"/>
        </c:manualLayout>
      </c:layout>
      <c:barChart>
        <c:barDir val="col"/>
        <c:grouping val="stacked"/>
        <c:varyColors val="0"/>
        <c:ser>
          <c:idx val="0"/>
          <c:order val="0"/>
          <c:tx>
            <c:strRef>
              <c:f>Sheet1!$Q$26</c:f>
              <c:strCache>
                <c:ptCount val="1"/>
                <c:pt idx="0">
                  <c:v>D1</c:v>
                </c:pt>
              </c:strCache>
            </c:strRef>
          </c:tx>
          <c:spPr>
            <a:solidFill>
              <a:schemeClr val="accent1"/>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Sheet1!$Q$27:$Q$32</c:f>
              <c:numCache>
                <c:formatCode>General</c:formatCode>
                <c:ptCount val="6"/>
                <c:pt idx="0">
                  <c:v>1</c:v>
                </c:pt>
                <c:pt idx="1">
                  <c:v>0</c:v>
                </c:pt>
                <c:pt idx="2">
                  <c:v>1</c:v>
                </c:pt>
                <c:pt idx="3">
                  <c:v>0</c:v>
                </c:pt>
                <c:pt idx="4">
                  <c:v>0</c:v>
                </c:pt>
                <c:pt idx="5">
                  <c:v>1</c:v>
                </c:pt>
              </c:numCache>
            </c:numRef>
          </c:val>
          <c:extLst xmlns:c16r2="http://schemas.microsoft.com/office/drawing/2015/06/chart">
            <c:ext xmlns:c16="http://schemas.microsoft.com/office/drawing/2014/chart" uri="{C3380CC4-5D6E-409C-BE32-E72D297353CC}">
              <c16:uniqueId val="{00000000-523C-406A-928F-66B6C38C08DF}"/>
            </c:ext>
          </c:extLst>
        </c:ser>
        <c:ser>
          <c:idx val="1"/>
          <c:order val="1"/>
          <c:tx>
            <c:strRef>
              <c:f>Sheet1!$R$26</c:f>
              <c:strCache>
                <c:ptCount val="1"/>
                <c:pt idx="0">
                  <c:v>Q1</c:v>
                </c:pt>
              </c:strCache>
            </c:strRef>
          </c:tx>
          <c:spPr>
            <a:solidFill>
              <a:schemeClr val="accent2"/>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Sheet1!$R$27:$R$32</c:f>
              <c:numCache>
                <c:formatCode>General</c:formatCode>
                <c:ptCount val="6"/>
                <c:pt idx="0">
                  <c:v>7</c:v>
                </c:pt>
                <c:pt idx="1">
                  <c:v>1</c:v>
                </c:pt>
                <c:pt idx="2">
                  <c:v>6</c:v>
                </c:pt>
                <c:pt idx="3">
                  <c:v>0</c:v>
                </c:pt>
                <c:pt idx="4">
                  <c:v>2</c:v>
                </c:pt>
                <c:pt idx="5">
                  <c:v>0</c:v>
                </c:pt>
              </c:numCache>
            </c:numRef>
          </c:val>
          <c:extLst xmlns:c16r2="http://schemas.microsoft.com/office/drawing/2015/06/chart">
            <c:ext xmlns:c16="http://schemas.microsoft.com/office/drawing/2014/chart" uri="{C3380CC4-5D6E-409C-BE32-E72D297353CC}">
              <c16:uniqueId val="{00000001-523C-406A-928F-66B6C38C08DF}"/>
            </c:ext>
          </c:extLst>
        </c:ser>
        <c:ser>
          <c:idx val="2"/>
          <c:order val="2"/>
          <c:tx>
            <c:strRef>
              <c:f>Sheet1!$S$26</c:f>
              <c:strCache>
                <c:ptCount val="1"/>
                <c:pt idx="0">
                  <c:v>Q2</c:v>
                </c:pt>
              </c:strCache>
            </c:strRef>
          </c:tx>
          <c:spPr>
            <a:solidFill>
              <a:schemeClr val="accent3"/>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Sheet1!$S$27:$S$32</c:f>
              <c:numCache>
                <c:formatCode>General</c:formatCode>
                <c:ptCount val="6"/>
                <c:pt idx="0">
                  <c:v>19</c:v>
                </c:pt>
                <c:pt idx="1">
                  <c:v>6</c:v>
                </c:pt>
                <c:pt idx="2">
                  <c:v>9</c:v>
                </c:pt>
                <c:pt idx="3">
                  <c:v>0</c:v>
                </c:pt>
                <c:pt idx="4">
                  <c:v>4</c:v>
                </c:pt>
                <c:pt idx="5">
                  <c:v>2</c:v>
                </c:pt>
              </c:numCache>
            </c:numRef>
          </c:val>
          <c:extLst xmlns:c16r2="http://schemas.microsoft.com/office/drawing/2015/06/chart">
            <c:ext xmlns:c16="http://schemas.microsoft.com/office/drawing/2014/chart" uri="{C3380CC4-5D6E-409C-BE32-E72D297353CC}">
              <c16:uniqueId val="{00000002-523C-406A-928F-66B6C38C08DF}"/>
            </c:ext>
          </c:extLst>
        </c:ser>
        <c:ser>
          <c:idx val="3"/>
          <c:order val="3"/>
          <c:tx>
            <c:strRef>
              <c:f>Sheet1!$T$26</c:f>
              <c:strCache>
                <c:ptCount val="1"/>
                <c:pt idx="0">
                  <c:v>Q3</c:v>
                </c:pt>
              </c:strCache>
            </c:strRef>
          </c:tx>
          <c:spPr>
            <a:solidFill>
              <a:schemeClr val="accent4"/>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Sheet1!$T$27:$T$32</c:f>
              <c:numCache>
                <c:formatCode>General</c:formatCode>
                <c:ptCount val="6"/>
                <c:pt idx="0">
                  <c:v>8</c:v>
                </c:pt>
                <c:pt idx="1">
                  <c:v>4</c:v>
                </c:pt>
                <c:pt idx="2">
                  <c:v>3</c:v>
                </c:pt>
                <c:pt idx="3">
                  <c:v>0</c:v>
                </c:pt>
                <c:pt idx="4">
                  <c:v>3</c:v>
                </c:pt>
                <c:pt idx="5">
                  <c:v>1</c:v>
                </c:pt>
              </c:numCache>
            </c:numRef>
          </c:val>
          <c:extLst xmlns:c16r2="http://schemas.microsoft.com/office/drawing/2015/06/chart">
            <c:ext xmlns:c16="http://schemas.microsoft.com/office/drawing/2014/chart" uri="{C3380CC4-5D6E-409C-BE32-E72D297353CC}">
              <c16:uniqueId val="{00000003-523C-406A-928F-66B6C38C08DF}"/>
            </c:ext>
          </c:extLst>
        </c:ser>
        <c:ser>
          <c:idx val="4"/>
          <c:order val="4"/>
          <c:tx>
            <c:strRef>
              <c:f>Sheet1!$U$26</c:f>
              <c:strCache>
                <c:ptCount val="1"/>
                <c:pt idx="0">
                  <c:v>Q4</c:v>
                </c:pt>
              </c:strCache>
            </c:strRef>
          </c:tx>
          <c:spPr>
            <a:solidFill>
              <a:schemeClr val="accent5"/>
            </a:solidFill>
            <a:ln>
              <a:noFill/>
            </a:ln>
            <a:effectLst/>
          </c:spPr>
          <c:invertIfNegative val="0"/>
          <c:cat>
            <c:strRef>
              <c:f>Sheet1!$P$27:$P$32</c:f>
              <c:strCache>
                <c:ptCount val="6"/>
                <c:pt idx="0">
                  <c:v>1.LF</c:v>
                </c:pt>
                <c:pt idx="1">
                  <c:v>2.LF</c:v>
                </c:pt>
                <c:pt idx="2">
                  <c:v>3.LF</c:v>
                </c:pt>
                <c:pt idx="3">
                  <c:v>FaFHK</c:v>
                </c:pt>
                <c:pt idx="4">
                  <c:v>LFHK</c:v>
                </c:pt>
                <c:pt idx="5">
                  <c:v>LFPI</c:v>
                </c:pt>
              </c:strCache>
            </c:strRef>
          </c:cat>
          <c:val>
            <c:numRef>
              <c:f>Sheet1!$U$27:$U$32</c:f>
              <c:numCache>
                <c:formatCode>General</c:formatCode>
                <c:ptCount val="6"/>
                <c:pt idx="0">
                  <c:v>25</c:v>
                </c:pt>
                <c:pt idx="1">
                  <c:v>6</c:v>
                </c:pt>
                <c:pt idx="2">
                  <c:v>7</c:v>
                </c:pt>
                <c:pt idx="3">
                  <c:v>1</c:v>
                </c:pt>
                <c:pt idx="4">
                  <c:v>9</c:v>
                </c:pt>
                <c:pt idx="5">
                  <c:v>6</c:v>
                </c:pt>
              </c:numCache>
            </c:numRef>
          </c:val>
          <c:extLst xmlns:c16r2="http://schemas.microsoft.com/office/drawing/2015/06/chart">
            <c:ext xmlns:c16="http://schemas.microsoft.com/office/drawing/2014/chart" uri="{C3380CC4-5D6E-409C-BE32-E72D297353CC}">
              <c16:uniqueId val="{00000004-523C-406A-928F-66B6C38C08DF}"/>
            </c:ext>
          </c:extLst>
        </c:ser>
        <c:dLbls>
          <c:showLegendKey val="0"/>
          <c:showVal val="0"/>
          <c:showCatName val="0"/>
          <c:showSerName val="0"/>
          <c:showPercent val="0"/>
          <c:showBubbleSize val="0"/>
        </c:dLbls>
        <c:gapWidth val="150"/>
        <c:overlap val="100"/>
        <c:axId val="-689496016"/>
        <c:axId val="-689478608"/>
      </c:barChart>
      <c:catAx>
        <c:axId val="-68949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9478608"/>
        <c:crosses val="autoZero"/>
        <c:auto val="1"/>
        <c:lblAlgn val="ctr"/>
        <c:lblOffset val="100"/>
        <c:noMultiLvlLbl val="0"/>
      </c:catAx>
      <c:valAx>
        <c:axId val="-68947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solidFill>
                      <a:sysClr val="windowText" lastClr="000000"/>
                    </a:solidFill>
                  </a:rPr>
                  <a:t>Number</a:t>
                </a:r>
                <a:r>
                  <a:rPr lang="en-GB" baseline="0">
                    <a:solidFill>
                      <a:sysClr val="windowText" lastClr="000000"/>
                    </a:solidFill>
                  </a:rPr>
                  <a:t> of papers</a:t>
                </a:r>
                <a:endParaRPr lang="en-GB">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689496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Last authors, CUNI &gt; 3 papers</a:t>
            </a:r>
          </a:p>
        </c:rich>
      </c:tx>
      <c:overlay val="0"/>
      <c:spPr>
        <a:noFill/>
        <a:ln>
          <a:noFill/>
        </a:ln>
        <a:effectLst/>
      </c:spPr>
    </c:title>
    <c:autoTitleDeleted val="0"/>
    <c:plotArea>
      <c:layout>
        <c:manualLayout>
          <c:layoutTarget val="inner"/>
          <c:xMode val="edge"/>
          <c:yMode val="edge"/>
          <c:x val="0.40663385047866601"/>
          <c:y val="0.137251968901935"/>
          <c:w val="0.52686247649161699"/>
          <c:h val="0.78271922736852495"/>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A10-4D07-85D1-77541732C65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A10-4D07-85D1-77541732C65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A10-4D07-85D1-77541732C65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A10-4D07-85D1-77541732C65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A10-4D07-85D1-77541732C652}"/>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A10-4D07-85D1-77541732C65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A10-4D07-85D1-77541732C65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4A10-4D07-85D1-77541732C65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4A10-4D07-85D1-77541732C65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4A10-4D07-85D1-77541732C652}"/>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4A10-4D07-85D1-77541732C652}"/>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4A10-4D07-85D1-77541732C652}"/>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4A10-4D07-85D1-77541732C652}"/>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4A10-4D07-85D1-77541732C652}"/>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4A10-4D07-85D1-77541732C652}"/>
              </c:ext>
            </c:extLst>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cs-CZ"/>
              </a:p>
            </c:txPr>
            <c:showLegendKey val="0"/>
            <c:showVal val="1"/>
            <c:showCatName val="0"/>
            <c:showSerName val="0"/>
            <c:showPercent val="0"/>
            <c:showBubbleSize val="0"/>
            <c:separator> </c:separator>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Sheet2!$U$16:$U$30</c:f>
              <c:strCache>
                <c:ptCount val="15"/>
                <c:pt idx="0">
                  <c:v>Aldhoon-Hainerova, I.</c:v>
                </c:pt>
                <c:pt idx="1">
                  <c:v>Andel, M.</c:v>
                </c:pt>
                <c:pt idx="2">
                  <c:v>Obermannova, Barbora</c:v>
                </c:pt>
                <c:pt idx="3">
                  <c:v>Polak, Jan</c:v>
                </c:pt>
                <c:pt idx="4">
                  <c:v>Potlukova, Eliska</c:v>
                </c:pt>
                <c:pt idx="5">
                  <c:v>Pruhova, Stepanka</c:v>
                </c:pt>
                <c:pt idx="6">
                  <c:v>Rossmeislova, Lenka</c:v>
                </c:pt>
                <c:pt idx="7">
                  <c:v>Soucek, Pavel</c:v>
                </c:pt>
                <c:pt idx="8">
                  <c:v>Zak, Ales</c:v>
                </c:pt>
                <c:pt idx="9">
                  <c:v>Heneberg, P.</c:v>
                </c:pt>
                <c:pt idx="10">
                  <c:v>Jiskra, J.</c:v>
                </c:pt>
                <c:pt idx="11">
                  <c:v>Prazny, Martin</c:v>
                </c:pt>
                <c:pt idx="12">
                  <c:v>Siklova, Michaela</c:v>
                </c:pt>
                <c:pt idx="13">
                  <c:v>Sobotka, L.</c:v>
                </c:pt>
                <c:pt idx="14">
                  <c:v>Haluzik, M.</c:v>
                </c:pt>
              </c:strCache>
            </c:strRef>
          </c:cat>
          <c:val>
            <c:numRef>
              <c:f>Sheet2!$V$16:$V$30</c:f>
              <c:numCache>
                <c:formatCode>General</c:formatCode>
                <c:ptCount val="15"/>
                <c:pt idx="0">
                  <c:v>3</c:v>
                </c:pt>
                <c:pt idx="1">
                  <c:v>3</c:v>
                </c:pt>
                <c:pt idx="2">
                  <c:v>3</c:v>
                </c:pt>
                <c:pt idx="3">
                  <c:v>3</c:v>
                </c:pt>
                <c:pt idx="4">
                  <c:v>3</c:v>
                </c:pt>
                <c:pt idx="5">
                  <c:v>3</c:v>
                </c:pt>
                <c:pt idx="6">
                  <c:v>3</c:v>
                </c:pt>
                <c:pt idx="7">
                  <c:v>3</c:v>
                </c:pt>
                <c:pt idx="8">
                  <c:v>3</c:v>
                </c:pt>
                <c:pt idx="9">
                  <c:v>4</c:v>
                </c:pt>
                <c:pt idx="10">
                  <c:v>4</c:v>
                </c:pt>
                <c:pt idx="11">
                  <c:v>4</c:v>
                </c:pt>
                <c:pt idx="12">
                  <c:v>4</c:v>
                </c:pt>
                <c:pt idx="13">
                  <c:v>6</c:v>
                </c:pt>
                <c:pt idx="14">
                  <c:v>21</c:v>
                </c:pt>
              </c:numCache>
            </c:numRef>
          </c:val>
          <c:extLst xmlns:c16r2="http://schemas.microsoft.com/office/drawing/2015/06/chart">
            <c:ext xmlns:c16="http://schemas.microsoft.com/office/drawing/2014/chart" uri="{C3380CC4-5D6E-409C-BE32-E72D297353CC}">
              <c16:uniqueId val="{0000001E-4A10-4D07-85D1-77541732C65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1.06765705957226E-2"/>
          <c:y val="9.1459933972835403E-2"/>
          <c:w val="0.31889518686694601"/>
          <c:h val="0.894923093930425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cs-CZ"/>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Distribution of 133 last author </a:t>
            </a:r>
          </a:p>
          <a:p>
            <a:pPr>
              <a:defRPr sz="1800" b="1" i="0" u="none" strike="noStrike" kern="1200" baseline="0">
                <a:solidFill>
                  <a:schemeClr val="dk1">
                    <a:lumMod val="75000"/>
                    <a:lumOff val="25000"/>
                  </a:schemeClr>
                </a:solidFill>
                <a:latin typeface="+mn-lt"/>
                <a:ea typeface="+mn-ea"/>
                <a:cs typeface="+mn-cs"/>
              </a:defRPr>
            </a:pPr>
            <a:r>
              <a:rPr lang="en-GB"/>
              <a:t>CUNI papers</a:t>
            </a:r>
          </a:p>
        </c:rich>
      </c:tx>
      <c:layout>
        <c:manualLayout>
          <c:xMode val="edge"/>
          <c:yMode val="edge"/>
          <c:x val="0.38607750145411501"/>
          <c:y val="3.2343989277076199E-2"/>
        </c:manualLayout>
      </c:layout>
      <c:overlay val="0"/>
      <c:spPr>
        <a:noFill/>
        <a:ln>
          <a:noFill/>
        </a:ln>
        <a:effectLst/>
      </c:spPr>
    </c:title>
    <c:autoTitleDeleted val="0"/>
    <c:plotArea>
      <c:layout>
        <c:manualLayout>
          <c:layoutTarget val="inner"/>
          <c:xMode val="edge"/>
          <c:yMode val="edge"/>
          <c:x val="0.14564876548510799"/>
          <c:y val="0.229677723981489"/>
          <c:w val="0.47034269308301602"/>
          <c:h val="0.6765203776046140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D57-4130-BC07-EB4D61FFAEF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D57-4130-BC07-EB4D61FFAEF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D57-4130-BC07-EB4D61FFAEF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D57-4130-BC07-EB4D61FFAEF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D57-4130-BC07-EB4D61FFAEF4}"/>
              </c:ext>
            </c:extLst>
          </c:dPt>
          <c:dLbls>
            <c:dLbl>
              <c:idx val="0"/>
              <c:layout>
                <c:manualLayout>
                  <c:x val="0.148412690683837"/>
                  <c:y val="-0.11320396246976699"/>
                </c:manualLayout>
              </c:layout>
              <c:spPr>
                <a:solidFill>
                  <a:srgbClr val="00A2F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D57-4130-BC07-EB4D61FFAEF4}"/>
                </c:ext>
                <c:ext xmlns:c15="http://schemas.microsoft.com/office/drawing/2012/chart" uri="{CE6537A1-D6FC-4f65-9D91-7224C49458BB}">
                  <c15:spPr xmlns:c15="http://schemas.microsoft.com/office/drawing/2012/chart">
                    <a:prstGeom prst="wedgeRectCallout">
                      <a:avLst/>
                    </a:prstGeom>
                  </c15:spPr>
                  <c15:layout>
                    <c:manualLayout>
                      <c:w val="0.12427092841150437"/>
                      <c:h val="0.13990048747740058"/>
                    </c:manualLayout>
                  </c15:layout>
                </c:ext>
              </c:extLst>
            </c:dLbl>
            <c:dLbl>
              <c:idx val="1"/>
              <c:layout>
                <c:manualLayout>
                  <c:x val="0.18214284765743599"/>
                  <c:y val="7.7625574264982594E-2"/>
                </c:manualLayout>
              </c:layout>
              <c:spPr>
                <a:solidFill>
                  <a:srgbClr val="16E7C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D57-4130-BC07-EB4D61FFAEF4}"/>
                </c:ext>
                <c:ext xmlns:c15="http://schemas.microsoft.com/office/drawing/2012/chart" uri="{CE6537A1-D6FC-4f65-9D91-7224C49458BB}">
                  <c15:spPr xmlns:c15="http://schemas.microsoft.com/office/drawing/2012/chart">
                    <a:prstGeom prst="wedgeRectCallout">
                      <a:avLst/>
                    </a:prstGeom>
                  </c15:spPr>
                  <c15:layout>
                    <c:manualLayout>
                      <c:w val="0.10178415709577152"/>
                      <c:h val="0.1204940939111549"/>
                    </c:manualLayout>
                  </c15:layout>
                </c:ext>
              </c:extLst>
            </c:dLbl>
            <c:dLbl>
              <c:idx val="2"/>
              <c:layout>
                <c:manualLayout>
                  <c:x val="-0.12592591936810399"/>
                  <c:y val="0.164954345313088"/>
                </c:manualLayout>
              </c:layout>
              <c:spPr>
                <a:solidFill>
                  <a:srgbClr val="61D836"/>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D57-4130-BC07-EB4D61FFAEF4}"/>
                </c:ext>
                <c:ext xmlns:c15="http://schemas.microsoft.com/office/drawing/2012/chart" uri="{CE6537A1-D6FC-4f65-9D91-7224C49458BB}">
                  <c15:spPr xmlns:c15="http://schemas.microsoft.com/office/drawing/2012/chart">
                    <a:prstGeom prst="wedgeRectCallout">
                      <a:avLst/>
                    </a:prstGeom>
                  </c15:spPr>
                  <c15:layout>
                    <c:manualLayout>
                      <c:w val="0.10178415709577152"/>
                      <c:h val="0.13019729069427774"/>
                    </c:manualLayout>
                  </c15:layout>
                </c:ext>
              </c:extLst>
            </c:dLbl>
            <c:dLbl>
              <c:idx val="3"/>
              <c:layout>
                <c:manualLayout>
                  <c:x val="-0.15515872207855699"/>
                  <c:y val="-0.194063935662457"/>
                </c:manualLayout>
              </c:layout>
              <c:spPr>
                <a:solidFill>
                  <a:srgbClr val="FFD932"/>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D57-4130-BC07-EB4D61FFAEF4}"/>
                </c:ext>
                <c:ext xmlns:c15="http://schemas.microsoft.com/office/drawing/2012/chart" uri="{CE6537A1-D6FC-4f65-9D91-7224C49458BB}">
                  <c15:spPr xmlns:c15="http://schemas.microsoft.com/office/drawing/2012/chart">
                    <a:prstGeom prst="wedgeRectCallout">
                      <a:avLst/>
                    </a:prstGeom>
                  </c15:spPr>
                  <c15:layout>
                    <c:manualLayout>
                      <c:w val="9.0540771437905093E-2"/>
                      <c:h val="0.13019729069427774"/>
                    </c:manualLayout>
                  </c15:layout>
                </c:ext>
              </c:extLst>
            </c:dLbl>
            <c:dLbl>
              <c:idx val="4"/>
              <c:layout>
                <c:manualLayout>
                  <c:x val="-5.6216928289332203E-2"/>
                  <c:y val="-0.207001531373288"/>
                </c:manualLayout>
              </c:layout>
              <c:tx>
                <c:rich>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Top 10%</a:t>
                    </a:r>
                  </a:p>
                </c:rich>
              </c:tx>
              <c:spPr>
                <a:solidFill>
                  <a:srgbClr val="FF644E"/>
                </a:solidFill>
                <a:ln>
                  <a:noFill/>
                </a:ln>
                <a:effectLst>
                  <a:outerShdw blurRad="50800" dist="38100" dir="2700000" algn="tl" rotWithShape="0">
                    <a:prstClr val="black">
                      <a:alpha val="40000"/>
                    </a:prstClr>
                  </a:outerShdw>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D57-4130-BC07-EB4D61FFAEF4}"/>
                </c:ext>
                <c:ext xmlns:c15="http://schemas.microsoft.com/office/drawing/2012/chart" uri="{CE6537A1-D6FC-4f65-9D91-7224C49458BB}">
                  <c15:spPr xmlns:c15="http://schemas.microsoft.com/office/drawing/2012/chart">
                    <a:prstGeom prst="wedgeRectCallout">
                      <a:avLst/>
                    </a:prstGeom>
                  </c15:spPr>
                  <c15:layout>
                    <c:manualLayout>
                      <c:w val="9.5905371416834806E-2"/>
                      <c:h val="0.13019729069427774"/>
                    </c:manualLayout>
                  </c15:layout>
                </c:ext>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Sheet2!$W$15:$AA$15</c:f>
              <c:strCache>
                <c:ptCount val="5"/>
                <c:pt idx="0">
                  <c:v>Q4</c:v>
                </c:pt>
                <c:pt idx="1">
                  <c:v>Q3</c:v>
                </c:pt>
                <c:pt idx="2">
                  <c:v>Q2</c:v>
                </c:pt>
                <c:pt idx="3">
                  <c:v>Q1</c:v>
                </c:pt>
                <c:pt idx="4">
                  <c:v>D1</c:v>
                </c:pt>
              </c:strCache>
            </c:strRef>
          </c:cat>
          <c:val>
            <c:numRef>
              <c:f>Sheet2!$W$16:$AA$16</c:f>
              <c:numCache>
                <c:formatCode>@</c:formatCode>
                <c:ptCount val="5"/>
                <c:pt idx="0">
                  <c:v>51</c:v>
                </c:pt>
                <c:pt idx="1">
                  <c:v>18</c:v>
                </c:pt>
                <c:pt idx="2">
                  <c:v>38</c:v>
                </c:pt>
                <c:pt idx="3" formatCode="General">
                  <c:v>22</c:v>
                </c:pt>
                <c:pt idx="4">
                  <c:v>4</c:v>
                </c:pt>
              </c:numCache>
            </c:numRef>
          </c:val>
          <c:extLst xmlns:c16r2="http://schemas.microsoft.com/office/drawing/2015/06/chart">
            <c:ext xmlns:c16="http://schemas.microsoft.com/office/drawing/2014/chart" uri="{C3380CC4-5D6E-409C-BE32-E72D297353CC}">
              <c16:uniqueId val="{0000000A-1D57-4130-BC07-EB4D61FFAEF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Distribution of 111 co-author  </a:t>
            </a:r>
          </a:p>
          <a:p>
            <a:pPr>
              <a:defRPr sz="1800" b="1" i="0" u="none" strike="noStrike" kern="1200" baseline="0">
                <a:solidFill>
                  <a:schemeClr val="dk1">
                    <a:lumMod val="75000"/>
                    <a:lumOff val="25000"/>
                  </a:schemeClr>
                </a:solidFill>
                <a:latin typeface="+mn-lt"/>
                <a:ea typeface="+mn-ea"/>
                <a:cs typeface="+mn-cs"/>
              </a:defRPr>
            </a:pPr>
            <a:r>
              <a:rPr lang="en-GB"/>
              <a:t>CUNI papers</a:t>
            </a:r>
          </a:p>
        </c:rich>
      </c:tx>
      <c:layout>
        <c:manualLayout>
          <c:xMode val="edge"/>
          <c:yMode val="edge"/>
          <c:x val="0.43780823033536298"/>
          <c:y val="1.6354582455801101E-2"/>
        </c:manualLayout>
      </c:layout>
      <c:overlay val="0"/>
      <c:spPr>
        <a:noFill/>
        <a:ln>
          <a:noFill/>
        </a:ln>
        <a:effectLst/>
      </c:spPr>
    </c:title>
    <c:autoTitleDeleted val="0"/>
    <c:plotArea>
      <c:layout>
        <c:manualLayout>
          <c:layoutTarget val="inner"/>
          <c:xMode val="edge"/>
          <c:yMode val="edge"/>
          <c:x val="0.14564876548510799"/>
          <c:y val="0.229677723981489"/>
          <c:w val="0.47034269308301602"/>
          <c:h val="0.67652037760461403"/>
        </c:manualLayout>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537-4A37-ACA5-8516E4E4235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537-4A37-ACA5-8516E4E4235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537-4A37-ACA5-8516E4E4235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537-4A37-ACA5-8516E4E4235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537-4A37-ACA5-8516E4E42354}"/>
              </c:ext>
            </c:extLst>
          </c:dPt>
          <c:dLbls>
            <c:dLbl>
              <c:idx val="0"/>
              <c:layout>
                <c:manualLayout>
                  <c:x val="0.148412690683837"/>
                  <c:y val="-0.11320396246976699"/>
                </c:manualLayout>
              </c:layout>
              <c:spPr>
                <a:solidFill>
                  <a:srgbClr val="00A2F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537-4A37-ACA5-8516E4E42354}"/>
                </c:ext>
                <c:ext xmlns:c15="http://schemas.microsoft.com/office/drawing/2012/chart" uri="{CE6537A1-D6FC-4f65-9D91-7224C49458BB}">
                  <c15:spPr xmlns:c15="http://schemas.microsoft.com/office/drawing/2012/chart">
                    <a:prstGeom prst="wedgeRectCallout">
                      <a:avLst/>
                    </a:prstGeom>
                  </c15:spPr>
                  <c15:layout>
                    <c:manualLayout>
                      <c:w val="0.12427092841150437"/>
                      <c:h val="0.13990048747740058"/>
                    </c:manualLayout>
                  </c15:layout>
                </c:ext>
              </c:extLst>
            </c:dLbl>
            <c:dLbl>
              <c:idx val="1"/>
              <c:layout>
                <c:manualLayout>
                  <c:x val="0.18214284765743599"/>
                  <c:y val="7.7625574264982594E-2"/>
                </c:manualLayout>
              </c:layout>
              <c:spPr>
                <a:solidFill>
                  <a:srgbClr val="16E7CF"/>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537-4A37-ACA5-8516E4E42354}"/>
                </c:ext>
                <c:ext xmlns:c15="http://schemas.microsoft.com/office/drawing/2012/chart" uri="{CE6537A1-D6FC-4f65-9D91-7224C49458BB}">
                  <c15:spPr xmlns:c15="http://schemas.microsoft.com/office/drawing/2012/chart">
                    <a:prstGeom prst="wedgeRectCallout">
                      <a:avLst/>
                    </a:prstGeom>
                  </c15:spPr>
                  <c15:layout>
                    <c:manualLayout>
                      <c:w val="0.10178415709577152"/>
                      <c:h val="0.1204940939111549"/>
                    </c:manualLayout>
                  </c15:layout>
                </c:ext>
              </c:extLst>
            </c:dLbl>
            <c:dLbl>
              <c:idx val="2"/>
              <c:layout>
                <c:manualLayout>
                  <c:x val="0.186640201920583"/>
                  <c:y val="0.14256902666187199"/>
                </c:manualLayout>
              </c:layout>
              <c:spPr>
                <a:solidFill>
                  <a:srgbClr val="61D836"/>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537-4A37-ACA5-8516E4E42354}"/>
                </c:ext>
                <c:ext xmlns:c15="http://schemas.microsoft.com/office/drawing/2012/chart" uri="{CE6537A1-D6FC-4f65-9D91-7224C49458BB}">
                  <c15:spPr xmlns:c15="http://schemas.microsoft.com/office/drawing/2012/chart">
                    <a:prstGeom prst="wedgeRectCallout">
                      <a:avLst/>
                    </a:prstGeom>
                  </c15:spPr>
                  <c15:layout>
                    <c:manualLayout>
                      <c:w val="0.10178415709577152"/>
                      <c:h val="0.13019729069427774"/>
                    </c:manualLayout>
                  </c15:layout>
                </c:ext>
              </c:extLst>
            </c:dLbl>
            <c:dLbl>
              <c:idx val="3"/>
              <c:layout>
                <c:manualLayout>
                  <c:x val="-0.15515872207855699"/>
                  <c:y val="-0.194063935662457"/>
                </c:manualLayout>
              </c:layout>
              <c:spPr>
                <a:solidFill>
                  <a:srgbClr val="FFD932"/>
                </a:solid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537-4A37-ACA5-8516E4E42354}"/>
                </c:ext>
                <c:ext xmlns:c15="http://schemas.microsoft.com/office/drawing/2012/chart" uri="{CE6537A1-D6FC-4f65-9D91-7224C49458BB}">
                  <c15:spPr xmlns:c15="http://schemas.microsoft.com/office/drawing/2012/chart">
                    <a:prstGeom prst="wedgeRectCallout">
                      <a:avLst/>
                    </a:prstGeom>
                  </c15:spPr>
                  <c15:layout>
                    <c:manualLayout>
                      <c:w val="9.0540771437905093E-2"/>
                      <c:h val="0.13019729069427774"/>
                    </c:manualLayout>
                  </c15:layout>
                </c:ext>
              </c:extLst>
            </c:dLbl>
            <c:dLbl>
              <c:idx val="4"/>
              <c:layout>
                <c:manualLayout>
                  <c:x val="-5.6216928289332203E-2"/>
                  <c:y val="-0.207001531373288"/>
                </c:manualLayout>
              </c:layout>
              <c:tx>
                <c:rich>
                  <a:bodyPr rot="0" spcFirstLastPara="1" vertOverflow="clip" horzOverflow="clip" vert="horz" wrap="square" lIns="38100" tIns="19050" rIns="38100" bIns="19050" anchor="ctr" anchorCtr="1">
                    <a:noAutofit/>
                  </a:bodyPr>
                  <a:lstStyle/>
                  <a:p>
                    <a:pPr>
                      <a:defRPr sz="1200" b="1" i="0" u="none" strike="noStrike" kern="1200" baseline="0">
                        <a:solidFill>
                          <a:sysClr val="windowText" lastClr="000000"/>
                        </a:solidFill>
                        <a:latin typeface="+mn-lt"/>
                        <a:ea typeface="+mn-ea"/>
                        <a:cs typeface="+mn-cs"/>
                      </a:defRPr>
                    </a:pPr>
                    <a:r>
                      <a:rPr lang="en-US" sz="1200">
                        <a:solidFill>
                          <a:sysClr val="windowText" lastClr="000000"/>
                        </a:solidFill>
                      </a:rPr>
                      <a:t>Top 10%</a:t>
                    </a:r>
                  </a:p>
                </c:rich>
              </c:tx>
              <c:spPr>
                <a:solidFill>
                  <a:srgbClr val="FF644E"/>
                </a:solidFill>
                <a:ln>
                  <a:noFill/>
                </a:ln>
                <a:effectLst>
                  <a:outerShdw blurRad="50800" dist="38100" dir="2700000" algn="tl" rotWithShape="0">
                    <a:prstClr val="black">
                      <a:alpha val="40000"/>
                    </a:prstClr>
                  </a:outerShdw>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B537-4A37-ACA5-8516E4E42354}"/>
                </c:ext>
                <c:ext xmlns:c15="http://schemas.microsoft.com/office/drawing/2012/chart" uri="{CE6537A1-D6FC-4f65-9D91-7224C49458BB}">
                  <c15:spPr xmlns:c15="http://schemas.microsoft.com/office/drawing/2012/chart">
                    <a:prstGeom prst="wedgeRectCallout">
                      <a:avLst/>
                    </a:prstGeom>
                  </c15:spPr>
                  <c15:layout>
                    <c:manualLayout>
                      <c:w val="9.5905371416834806E-2"/>
                      <c:h val="0.13019729069427774"/>
                    </c:manualLayout>
                  </c15:layout>
                </c:ext>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Sheet2!$AB$15:$AF$15</c:f>
              <c:strCache>
                <c:ptCount val="5"/>
                <c:pt idx="0">
                  <c:v>Q4</c:v>
                </c:pt>
                <c:pt idx="1">
                  <c:v>Q3</c:v>
                </c:pt>
                <c:pt idx="2">
                  <c:v>Q2</c:v>
                </c:pt>
                <c:pt idx="3">
                  <c:v>Q1</c:v>
                </c:pt>
                <c:pt idx="4">
                  <c:v>D1</c:v>
                </c:pt>
              </c:strCache>
            </c:strRef>
          </c:cat>
          <c:val>
            <c:numRef>
              <c:f>Sheet2!$AB$16:$AF$16</c:f>
              <c:numCache>
                <c:formatCode>General</c:formatCode>
                <c:ptCount val="5"/>
                <c:pt idx="0">
                  <c:v>14</c:v>
                </c:pt>
                <c:pt idx="1">
                  <c:v>12</c:v>
                </c:pt>
                <c:pt idx="2">
                  <c:v>35</c:v>
                </c:pt>
                <c:pt idx="3">
                  <c:v>32</c:v>
                </c:pt>
                <c:pt idx="4">
                  <c:v>18</c:v>
                </c:pt>
              </c:numCache>
            </c:numRef>
          </c:val>
          <c:extLst xmlns:c16r2="http://schemas.microsoft.com/office/drawing/2015/06/chart">
            <c:ext xmlns:c16="http://schemas.microsoft.com/office/drawing/2014/chart" uri="{C3380CC4-5D6E-409C-BE32-E72D297353CC}">
              <c16:uniqueId val="{0000000A-B537-4A37-ACA5-8516E4E4235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AEA1B-AE80-4E0D-9F46-17C02968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16916</Words>
  <Characters>99805</Characters>
  <Application>Microsoft Office Word</Application>
  <DocSecurity>0</DocSecurity>
  <Lines>831</Lines>
  <Paragraphs>232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MU</Company>
  <LinksUpToDate>false</LinksUpToDate>
  <CharactersWithSpaces>116489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cp:lastModifiedBy>Pavel Klener</cp:lastModifiedBy>
  <cp:revision>2</cp:revision>
  <cp:lastPrinted>2020-04-28T14:02:00Z</cp:lastPrinted>
  <dcterms:created xsi:type="dcterms:W3CDTF">2020-08-24T09:29:00Z</dcterms:created>
  <dcterms:modified xsi:type="dcterms:W3CDTF">2020-08-24T09:29:00Z</dcterms:modified>
</cp:coreProperties>
</file>