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D8F" w:rsidRPr="00262D64" w:rsidRDefault="00F77D8F">
      <w:pPr>
        <w:rPr>
          <w:rFonts w:ascii="Calibri" w:hAnsi="Calibri" w:cs="Calibri"/>
          <w:b/>
          <w:sz w:val="28"/>
          <w:szCs w:val="28"/>
        </w:rPr>
      </w:pPr>
      <w:bookmarkStart w:id="0" w:name="_GoBack"/>
      <w:r w:rsidRPr="00262D64">
        <w:rPr>
          <w:rFonts w:ascii="Calibri" w:hAnsi="Calibri" w:cs="Calibri"/>
          <w:b/>
          <w:sz w:val="28"/>
          <w:szCs w:val="28"/>
        </w:rPr>
        <w:t>KD 11/2020 Bod 6. Strategický rozvoj a OP VVV</w:t>
      </w:r>
    </w:p>
    <w:p w:rsidR="00F77D8F" w:rsidRDefault="00A66825">
      <w:pPr>
        <w:rPr>
          <w:rFonts w:ascii="Calibri" w:hAnsi="Calibri" w:cs="Calibri"/>
        </w:rPr>
      </w:pPr>
      <w:r>
        <w:rPr>
          <w:rFonts w:ascii="Calibri" w:hAnsi="Calibri" w:cs="Calibri"/>
        </w:rPr>
        <w:t>Vypracoval: Vojtěch Malina, Ivan Mikula</w:t>
      </w:r>
    </w:p>
    <w:bookmarkEnd w:id="0"/>
    <w:p w:rsidR="00A66825" w:rsidRDefault="00A66825">
      <w:pPr>
        <w:rPr>
          <w:rFonts w:ascii="Calibri" w:hAnsi="Calibri" w:cs="Calibri"/>
        </w:rPr>
      </w:pPr>
    </w:p>
    <w:p w:rsidR="001729AD" w:rsidRPr="00113878" w:rsidRDefault="00113878">
      <w:pPr>
        <w:rPr>
          <w:rFonts w:ascii="Calibri" w:hAnsi="Calibri" w:cs="Calibri"/>
          <w:b/>
        </w:rPr>
      </w:pPr>
      <w:r w:rsidRPr="00113878">
        <w:rPr>
          <w:rFonts w:ascii="Calibri" w:hAnsi="Calibri" w:cs="Calibri"/>
          <w:b/>
        </w:rPr>
        <w:t>OP JAK</w:t>
      </w:r>
      <w:r w:rsidR="006D10AD">
        <w:rPr>
          <w:rFonts w:ascii="Calibri" w:hAnsi="Calibri" w:cs="Calibri"/>
          <w:b/>
        </w:rPr>
        <w:t xml:space="preserve"> - Operační program 2021-27</w:t>
      </w:r>
    </w:p>
    <w:p w:rsidR="00113878" w:rsidRPr="00113878" w:rsidRDefault="00113878" w:rsidP="00113878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113878">
        <w:rPr>
          <w:rFonts w:ascii="Calibri" w:eastAsia="Times New Roman" w:hAnsi="Calibri" w:cs="Calibri"/>
          <w:sz w:val="24"/>
          <w:szCs w:val="24"/>
          <w:lang w:eastAsia="cs-CZ"/>
        </w:rPr>
        <w:t xml:space="preserve">OP JAK by v programovém období 2021 – 2027 měl podporovat veškeré regiony EU rozdělené do tří kategorií: </w:t>
      </w:r>
    </w:p>
    <w:p w:rsidR="00113878" w:rsidRPr="00113878" w:rsidRDefault="00113878" w:rsidP="00113878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Calibri" w:eastAsia="Times New Roman" w:hAnsi="Calibri" w:cs="Calibri"/>
          <w:sz w:val="24"/>
          <w:szCs w:val="24"/>
          <w:lang w:eastAsia="cs-CZ"/>
        </w:rPr>
      </w:pPr>
      <w:r w:rsidRPr="00113878">
        <w:rPr>
          <w:rFonts w:ascii="Calibri" w:eastAsia="Times New Roman" w:hAnsi="Calibri" w:cs="Calibri"/>
          <w:sz w:val="24"/>
          <w:szCs w:val="24"/>
          <w:lang w:eastAsia="cs-CZ"/>
        </w:rPr>
        <w:t>méně rozvinuté regiony, jejichž HDP je nižší než 75 % průměru EU-28;</w:t>
      </w:r>
    </w:p>
    <w:p w:rsidR="00113878" w:rsidRPr="00113878" w:rsidRDefault="00113878" w:rsidP="00113878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Calibri" w:eastAsia="Times New Roman" w:hAnsi="Calibri" w:cs="Calibri"/>
          <w:sz w:val="24"/>
          <w:szCs w:val="24"/>
          <w:lang w:eastAsia="cs-CZ"/>
        </w:rPr>
      </w:pPr>
      <w:r w:rsidRPr="00113878">
        <w:rPr>
          <w:rFonts w:ascii="Calibri" w:eastAsia="Times New Roman" w:hAnsi="Calibri" w:cs="Calibri"/>
          <w:sz w:val="24"/>
          <w:szCs w:val="24"/>
          <w:lang w:eastAsia="cs-CZ"/>
        </w:rPr>
        <w:t>tzv. přechodové regiony, jejichž HDP se pohybuje v rozmezí 75 – 90 % průměru EU-28;</w:t>
      </w:r>
    </w:p>
    <w:p w:rsidR="00113878" w:rsidRPr="00113878" w:rsidRDefault="00113878" w:rsidP="00113878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Calibri" w:eastAsia="Times New Roman" w:hAnsi="Calibri" w:cs="Calibri"/>
          <w:sz w:val="24"/>
          <w:szCs w:val="24"/>
          <w:lang w:eastAsia="cs-CZ"/>
        </w:rPr>
      </w:pPr>
      <w:r w:rsidRPr="00113878">
        <w:rPr>
          <w:rFonts w:ascii="Calibri" w:eastAsia="Times New Roman" w:hAnsi="Calibri" w:cs="Calibri"/>
          <w:sz w:val="24"/>
          <w:szCs w:val="24"/>
          <w:lang w:eastAsia="cs-CZ"/>
        </w:rPr>
        <w:t>více rozvinuté regiony, jejichž HD</w:t>
      </w:r>
      <w:r w:rsidR="006D10AD">
        <w:rPr>
          <w:rFonts w:ascii="Calibri" w:eastAsia="Times New Roman" w:hAnsi="Calibri" w:cs="Calibri"/>
          <w:sz w:val="24"/>
          <w:szCs w:val="24"/>
          <w:lang w:eastAsia="cs-CZ"/>
        </w:rPr>
        <w:t xml:space="preserve">P je vyšší než 90 % průměru HDP </w:t>
      </w:r>
      <w:r w:rsidR="006D10AD">
        <w:rPr>
          <w:rFonts w:ascii="Calibri" w:eastAsia="Times New Roman" w:hAnsi="Calibri" w:cs="Calibri"/>
          <w:b/>
          <w:sz w:val="24"/>
          <w:szCs w:val="24"/>
          <w:lang w:eastAsia="cs-CZ"/>
        </w:rPr>
        <w:t>(Praha)</w:t>
      </w:r>
    </w:p>
    <w:p w:rsidR="00113878" w:rsidRPr="00113878" w:rsidRDefault="00113878" w:rsidP="00113878">
      <w:pPr>
        <w:rPr>
          <w:rFonts w:ascii="Calibri" w:hAnsi="Calibri" w:cs="Calibri"/>
          <w:b/>
          <w:bCs/>
        </w:rPr>
      </w:pPr>
      <w:r w:rsidRPr="00113878">
        <w:rPr>
          <w:rFonts w:ascii="Calibri" w:hAnsi="Calibri" w:cs="Calibri"/>
          <w:b/>
          <w:bCs/>
        </w:rPr>
        <w:t>HLAVNÍ ZMĚNY V 2021+ OPROTI 2014+</w:t>
      </w:r>
    </w:p>
    <w:tbl>
      <w:tblPr>
        <w:tblW w:w="88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7"/>
        <w:gridCol w:w="225"/>
        <w:gridCol w:w="2031"/>
        <w:gridCol w:w="1936"/>
        <w:gridCol w:w="320"/>
        <w:gridCol w:w="932"/>
        <w:gridCol w:w="1261"/>
        <w:gridCol w:w="15"/>
      </w:tblGrid>
      <w:tr w:rsidR="00113878" w:rsidRPr="00113878" w:rsidTr="00A66825">
        <w:trPr>
          <w:gridAfter w:val="1"/>
          <w:wAfter w:w="15" w:type="dxa"/>
          <w:trHeight w:val="271"/>
        </w:trPr>
        <w:tc>
          <w:tcPr>
            <w:tcW w:w="217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13878" w:rsidRPr="00113878" w:rsidRDefault="00113878" w:rsidP="00113878">
            <w:pPr>
              <w:rPr>
                <w:rFonts w:ascii="Calibri" w:hAnsi="Calibri" w:cs="Calibri"/>
              </w:rPr>
            </w:pPr>
            <w:r w:rsidRPr="00113878">
              <w:rPr>
                <w:rFonts w:ascii="Calibri" w:hAnsi="Calibri" w:cs="Calibri"/>
                <w:b/>
                <w:bCs/>
              </w:rPr>
              <w:t>Fond/alokace (bez záruky)</w:t>
            </w:r>
          </w:p>
        </w:tc>
        <w:tc>
          <w:tcPr>
            <w:tcW w:w="2256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13878" w:rsidRPr="00113878" w:rsidRDefault="00113878" w:rsidP="00113878">
            <w:pPr>
              <w:rPr>
                <w:rFonts w:ascii="Calibri" w:hAnsi="Calibri" w:cs="Calibri"/>
              </w:rPr>
            </w:pPr>
            <w:r w:rsidRPr="00113878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256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13878" w:rsidRPr="00113878" w:rsidRDefault="00113878" w:rsidP="00113878">
            <w:pPr>
              <w:rPr>
                <w:rFonts w:ascii="Calibri" w:hAnsi="Calibri" w:cs="Calibri"/>
              </w:rPr>
            </w:pPr>
            <w:r w:rsidRPr="00113878">
              <w:rPr>
                <w:rFonts w:ascii="Calibri" w:hAnsi="Calibri" w:cs="Calibri"/>
                <w:b/>
                <w:bCs/>
              </w:rPr>
              <w:t>2014 - 2020</w:t>
            </w:r>
          </w:p>
        </w:tc>
        <w:tc>
          <w:tcPr>
            <w:tcW w:w="2193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13878" w:rsidRPr="00113878" w:rsidRDefault="00113878" w:rsidP="00113878">
            <w:pPr>
              <w:rPr>
                <w:rFonts w:ascii="Calibri" w:hAnsi="Calibri" w:cs="Calibri"/>
              </w:rPr>
            </w:pPr>
            <w:r w:rsidRPr="00113878">
              <w:rPr>
                <w:rFonts w:ascii="Calibri" w:hAnsi="Calibri" w:cs="Calibri"/>
                <w:b/>
                <w:bCs/>
              </w:rPr>
              <w:t>2021 - 2025</w:t>
            </w:r>
          </w:p>
        </w:tc>
      </w:tr>
      <w:tr w:rsidR="00113878" w:rsidRPr="00113878" w:rsidTr="00A66825">
        <w:trPr>
          <w:gridAfter w:val="1"/>
          <w:wAfter w:w="15" w:type="dxa"/>
          <w:trHeight w:val="31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113878" w:rsidRPr="00113878" w:rsidRDefault="00113878" w:rsidP="00113878">
            <w:pPr>
              <w:rPr>
                <w:rFonts w:ascii="Calibri" w:hAnsi="Calibri" w:cs="Calibri"/>
              </w:rPr>
            </w:pPr>
          </w:p>
        </w:tc>
        <w:tc>
          <w:tcPr>
            <w:tcW w:w="2256" w:type="dxa"/>
            <w:gridSpan w:val="2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13878" w:rsidRPr="00113878" w:rsidRDefault="00113878" w:rsidP="00113878">
            <w:pPr>
              <w:rPr>
                <w:rFonts w:ascii="Calibri" w:hAnsi="Calibri" w:cs="Calibri"/>
              </w:rPr>
            </w:pPr>
            <w:r w:rsidRPr="00113878">
              <w:rPr>
                <w:rFonts w:ascii="Calibri" w:hAnsi="Calibri" w:cs="Calibri"/>
              </w:rPr>
              <w:t>ESF</w:t>
            </w:r>
            <w:r w:rsidR="006D10AD">
              <w:rPr>
                <w:rFonts w:ascii="Calibri" w:hAnsi="Calibri" w:cs="Calibri"/>
              </w:rPr>
              <w:t xml:space="preserve"> (</w:t>
            </w:r>
            <w:proofErr w:type="spellStart"/>
            <w:r w:rsidR="006D10AD">
              <w:rPr>
                <w:rFonts w:ascii="Calibri" w:hAnsi="Calibri" w:cs="Calibri"/>
              </w:rPr>
              <w:t>neinvestice</w:t>
            </w:r>
            <w:proofErr w:type="spellEnd"/>
            <w:r w:rsidR="006D10AD">
              <w:rPr>
                <w:rFonts w:ascii="Calibri" w:hAnsi="Calibri" w:cs="Calibri"/>
              </w:rPr>
              <w:t>)</w:t>
            </w:r>
          </w:p>
        </w:tc>
        <w:tc>
          <w:tcPr>
            <w:tcW w:w="2256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13878" w:rsidRPr="00113878" w:rsidRDefault="00113878" w:rsidP="00113878">
            <w:pPr>
              <w:rPr>
                <w:rFonts w:ascii="Calibri" w:hAnsi="Calibri" w:cs="Calibri"/>
              </w:rPr>
            </w:pPr>
            <w:r w:rsidRPr="00113878">
              <w:rPr>
                <w:rFonts w:ascii="Calibri" w:hAnsi="Calibri" w:cs="Calibri"/>
              </w:rPr>
              <w:t>3,467 mld. €</w:t>
            </w:r>
          </w:p>
        </w:tc>
        <w:tc>
          <w:tcPr>
            <w:tcW w:w="2193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13878" w:rsidRPr="00113878" w:rsidRDefault="00113878" w:rsidP="00113878">
            <w:pPr>
              <w:rPr>
                <w:rFonts w:ascii="Calibri" w:hAnsi="Calibri" w:cs="Calibri"/>
              </w:rPr>
            </w:pPr>
            <w:r w:rsidRPr="00113878">
              <w:rPr>
                <w:rFonts w:ascii="Calibri" w:hAnsi="Calibri" w:cs="Calibri"/>
              </w:rPr>
              <w:t>2,737 mld. €</w:t>
            </w:r>
          </w:p>
        </w:tc>
      </w:tr>
      <w:tr w:rsidR="00113878" w:rsidRPr="00113878" w:rsidTr="00A66825">
        <w:trPr>
          <w:gridAfter w:val="1"/>
          <w:wAfter w:w="15" w:type="dxa"/>
          <w:trHeight w:val="268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113878" w:rsidRPr="00113878" w:rsidRDefault="00113878" w:rsidP="00113878">
            <w:pPr>
              <w:rPr>
                <w:rFonts w:ascii="Calibri" w:hAnsi="Calibri" w:cs="Calibri"/>
              </w:rPr>
            </w:pPr>
          </w:p>
        </w:tc>
        <w:tc>
          <w:tcPr>
            <w:tcW w:w="2256" w:type="dxa"/>
            <w:gridSpan w:val="2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13878" w:rsidRPr="00113878" w:rsidRDefault="00113878" w:rsidP="00113878">
            <w:pPr>
              <w:rPr>
                <w:rFonts w:ascii="Calibri" w:hAnsi="Calibri" w:cs="Calibri"/>
              </w:rPr>
            </w:pPr>
            <w:r w:rsidRPr="00113878">
              <w:rPr>
                <w:rFonts w:ascii="Calibri" w:hAnsi="Calibri" w:cs="Calibri"/>
              </w:rPr>
              <w:t>ERDF</w:t>
            </w:r>
            <w:r w:rsidR="006D10AD">
              <w:rPr>
                <w:rFonts w:ascii="Calibri" w:hAnsi="Calibri" w:cs="Calibri"/>
              </w:rPr>
              <w:t xml:space="preserve"> (investice)</w:t>
            </w:r>
          </w:p>
        </w:tc>
        <w:tc>
          <w:tcPr>
            <w:tcW w:w="225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13878" w:rsidRPr="00113878" w:rsidRDefault="00113878" w:rsidP="00113878">
            <w:pPr>
              <w:rPr>
                <w:rFonts w:ascii="Calibri" w:hAnsi="Calibri" w:cs="Calibri"/>
              </w:rPr>
            </w:pPr>
            <w:r w:rsidRPr="00113878">
              <w:rPr>
                <w:rFonts w:ascii="Calibri" w:hAnsi="Calibri" w:cs="Calibri"/>
              </w:rPr>
              <w:t>11,944mld. €</w:t>
            </w:r>
          </w:p>
        </w:tc>
        <w:tc>
          <w:tcPr>
            <w:tcW w:w="219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13878" w:rsidRPr="00113878" w:rsidRDefault="00113878" w:rsidP="00113878">
            <w:pPr>
              <w:rPr>
                <w:rFonts w:ascii="Calibri" w:hAnsi="Calibri" w:cs="Calibri"/>
              </w:rPr>
            </w:pPr>
            <w:r w:rsidRPr="00113878">
              <w:rPr>
                <w:rFonts w:ascii="Calibri" w:hAnsi="Calibri" w:cs="Calibri"/>
              </w:rPr>
              <w:t>10,524 mld. €</w:t>
            </w:r>
          </w:p>
        </w:tc>
      </w:tr>
      <w:tr w:rsidR="00113878" w:rsidRPr="00113878" w:rsidTr="00A66825">
        <w:trPr>
          <w:trHeight w:val="164"/>
        </w:trPr>
        <w:tc>
          <w:tcPr>
            <w:tcW w:w="2402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13878" w:rsidRPr="00113878" w:rsidRDefault="00113878" w:rsidP="00113878">
            <w:pPr>
              <w:rPr>
                <w:rFonts w:ascii="Calibri" w:hAnsi="Calibri" w:cs="Calibri"/>
              </w:rPr>
            </w:pPr>
            <w:r w:rsidRPr="00113878">
              <w:rPr>
                <w:rFonts w:ascii="Calibri" w:hAnsi="Calibri" w:cs="Calibri"/>
                <w:b/>
                <w:bCs/>
              </w:rPr>
              <w:t>Kategorie regionů/ EU spolufinancování (výše spolufinancování ze strany příjemců stále v jednání)</w:t>
            </w:r>
          </w:p>
        </w:tc>
        <w:tc>
          <w:tcPr>
            <w:tcW w:w="3967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13878" w:rsidRPr="00113878" w:rsidRDefault="00113878" w:rsidP="00113878">
            <w:pPr>
              <w:rPr>
                <w:rFonts w:ascii="Calibri" w:hAnsi="Calibri" w:cs="Calibri"/>
              </w:rPr>
            </w:pPr>
            <w:r w:rsidRPr="00113878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13878" w:rsidRPr="00113878" w:rsidRDefault="00113878" w:rsidP="00113878">
            <w:pPr>
              <w:rPr>
                <w:rFonts w:ascii="Calibri" w:hAnsi="Calibri" w:cs="Calibri"/>
              </w:rPr>
            </w:pPr>
            <w:r w:rsidRPr="00113878">
              <w:rPr>
                <w:rFonts w:ascii="Calibri" w:hAnsi="Calibri" w:cs="Calibri"/>
                <w:b/>
                <w:bCs/>
              </w:rPr>
              <w:t>2014-2020</w:t>
            </w:r>
          </w:p>
        </w:tc>
        <w:tc>
          <w:tcPr>
            <w:tcW w:w="1276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13878" w:rsidRPr="00113878" w:rsidRDefault="00113878" w:rsidP="00113878">
            <w:pPr>
              <w:rPr>
                <w:rFonts w:ascii="Calibri" w:hAnsi="Calibri" w:cs="Calibri"/>
              </w:rPr>
            </w:pPr>
            <w:r w:rsidRPr="00113878">
              <w:rPr>
                <w:rFonts w:ascii="Calibri" w:hAnsi="Calibri" w:cs="Calibri"/>
                <w:b/>
                <w:bCs/>
              </w:rPr>
              <w:t>2021-2027</w:t>
            </w:r>
          </w:p>
        </w:tc>
      </w:tr>
      <w:tr w:rsidR="00113878" w:rsidRPr="00113878" w:rsidTr="00A66825">
        <w:trPr>
          <w:trHeight w:val="338"/>
        </w:trPr>
        <w:tc>
          <w:tcPr>
            <w:tcW w:w="2402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113878" w:rsidRPr="00113878" w:rsidRDefault="00113878" w:rsidP="00113878">
            <w:pPr>
              <w:rPr>
                <w:rFonts w:ascii="Calibri" w:hAnsi="Calibri" w:cs="Calibri"/>
              </w:rPr>
            </w:pPr>
          </w:p>
        </w:tc>
        <w:tc>
          <w:tcPr>
            <w:tcW w:w="3967" w:type="dxa"/>
            <w:gridSpan w:val="2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13878" w:rsidRPr="00113878" w:rsidRDefault="00113878" w:rsidP="00113878">
            <w:pPr>
              <w:rPr>
                <w:rFonts w:ascii="Calibri" w:hAnsi="Calibri" w:cs="Calibri"/>
              </w:rPr>
            </w:pPr>
            <w:r w:rsidRPr="00113878">
              <w:rPr>
                <w:rFonts w:ascii="Calibri" w:hAnsi="Calibri" w:cs="Calibri"/>
              </w:rPr>
              <w:t>Více rozvinuté regiony (hl. m. Praha)</w:t>
            </w:r>
          </w:p>
        </w:tc>
        <w:tc>
          <w:tcPr>
            <w:tcW w:w="1252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13878" w:rsidRPr="00113878" w:rsidRDefault="00113878" w:rsidP="00113878">
            <w:pPr>
              <w:rPr>
                <w:rFonts w:ascii="Calibri" w:hAnsi="Calibri" w:cs="Calibri"/>
              </w:rPr>
            </w:pPr>
            <w:r w:rsidRPr="00113878">
              <w:rPr>
                <w:rFonts w:ascii="Calibri" w:hAnsi="Calibri" w:cs="Calibri"/>
              </w:rPr>
              <w:t>50%</w:t>
            </w:r>
          </w:p>
        </w:tc>
        <w:tc>
          <w:tcPr>
            <w:tcW w:w="1276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13878" w:rsidRPr="00113878" w:rsidRDefault="00113878" w:rsidP="00113878">
            <w:pPr>
              <w:rPr>
                <w:rFonts w:ascii="Calibri" w:hAnsi="Calibri" w:cs="Calibri"/>
              </w:rPr>
            </w:pPr>
            <w:r w:rsidRPr="00113878">
              <w:rPr>
                <w:rFonts w:ascii="Calibri" w:hAnsi="Calibri" w:cs="Calibri"/>
              </w:rPr>
              <w:t>40%</w:t>
            </w:r>
          </w:p>
        </w:tc>
      </w:tr>
      <w:tr w:rsidR="00113878" w:rsidRPr="00113878" w:rsidTr="00A66825">
        <w:trPr>
          <w:trHeight w:val="453"/>
        </w:trPr>
        <w:tc>
          <w:tcPr>
            <w:tcW w:w="2402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113878" w:rsidRPr="00113878" w:rsidRDefault="00113878" w:rsidP="00113878">
            <w:pPr>
              <w:rPr>
                <w:rFonts w:ascii="Calibri" w:hAnsi="Calibri" w:cs="Calibri"/>
              </w:rPr>
            </w:pPr>
          </w:p>
        </w:tc>
        <w:tc>
          <w:tcPr>
            <w:tcW w:w="3967" w:type="dxa"/>
            <w:gridSpan w:val="2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13878" w:rsidRPr="00113878" w:rsidRDefault="00113878" w:rsidP="00113878">
            <w:pPr>
              <w:rPr>
                <w:rFonts w:ascii="Calibri" w:hAnsi="Calibri" w:cs="Calibri"/>
              </w:rPr>
            </w:pPr>
            <w:r w:rsidRPr="00113878">
              <w:rPr>
                <w:rFonts w:ascii="Calibri" w:hAnsi="Calibri" w:cs="Calibri"/>
              </w:rPr>
              <w:t>Přechodové regiony (Střední Čechy, Jihozápad, Jihovýchod)</w:t>
            </w:r>
          </w:p>
        </w:tc>
        <w:tc>
          <w:tcPr>
            <w:tcW w:w="125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13878" w:rsidRPr="00113878" w:rsidRDefault="00113878" w:rsidP="00113878">
            <w:pPr>
              <w:rPr>
                <w:rFonts w:ascii="Calibri" w:hAnsi="Calibri" w:cs="Calibri"/>
              </w:rPr>
            </w:pPr>
            <w:r w:rsidRPr="00113878">
              <w:rPr>
                <w:rFonts w:ascii="Calibri" w:hAnsi="Calibri" w:cs="Calibri"/>
              </w:rPr>
              <w:t>80%/60%</w:t>
            </w:r>
          </w:p>
        </w:tc>
        <w:tc>
          <w:tcPr>
            <w:tcW w:w="127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13878" w:rsidRPr="00113878" w:rsidRDefault="00113878" w:rsidP="00113878">
            <w:pPr>
              <w:rPr>
                <w:rFonts w:ascii="Calibri" w:hAnsi="Calibri" w:cs="Calibri"/>
              </w:rPr>
            </w:pPr>
            <w:r w:rsidRPr="00113878">
              <w:rPr>
                <w:rFonts w:ascii="Calibri" w:hAnsi="Calibri" w:cs="Calibri"/>
              </w:rPr>
              <w:t>55%</w:t>
            </w:r>
          </w:p>
        </w:tc>
      </w:tr>
      <w:tr w:rsidR="00113878" w:rsidRPr="00113878" w:rsidTr="00A66825">
        <w:trPr>
          <w:trHeight w:val="222"/>
        </w:trPr>
        <w:tc>
          <w:tcPr>
            <w:tcW w:w="2402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113878" w:rsidRPr="00113878" w:rsidRDefault="00113878" w:rsidP="00113878">
            <w:pPr>
              <w:rPr>
                <w:rFonts w:ascii="Calibri" w:hAnsi="Calibri" w:cs="Calibri"/>
              </w:rPr>
            </w:pPr>
          </w:p>
        </w:tc>
        <w:tc>
          <w:tcPr>
            <w:tcW w:w="3967" w:type="dxa"/>
            <w:gridSpan w:val="2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13878" w:rsidRPr="00113878" w:rsidRDefault="00113878" w:rsidP="00113878">
            <w:pPr>
              <w:rPr>
                <w:rFonts w:ascii="Calibri" w:hAnsi="Calibri" w:cs="Calibri"/>
              </w:rPr>
            </w:pPr>
            <w:r w:rsidRPr="00113878">
              <w:rPr>
                <w:rFonts w:ascii="Calibri" w:hAnsi="Calibri" w:cs="Calibri"/>
              </w:rPr>
              <w:t>Méně rozvinuté regiony (ostatní)</w:t>
            </w:r>
          </w:p>
        </w:tc>
        <w:tc>
          <w:tcPr>
            <w:tcW w:w="125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13878" w:rsidRPr="00113878" w:rsidRDefault="00113878" w:rsidP="00113878">
            <w:pPr>
              <w:rPr>
                <w:rFonts w:ascii="Calibri" w:hAnsi="Calibri" w:cs="Calibri"/>
              </w:rPr>
            </w:pPr>
            <w:r w:rsidRPr="00113878">
              <w:rPr>
                <w:rFonts w:ascii="Calibri" w:hAnsi="Calibri" w:cs="Calibri"/>
              </w:rPr>
              <w:t>85%</w:t>
            </w:r>
          </w:p>
        </w:tc>
        <w:tc>
          <w:tcPr>
            <w:tcW w:w="127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13878" w:rsidRPr="00113878" w:rsidRDefault="00113878" w:rsidP="00113878">
            <w:pPr>
              <w:rPr>
                <w:rFonts w:ascii="Calibri" w:hAnsi="Calibri" w:cs="Calibri"/>
              </w:rPr>
            </w:pPr>
            <w:r w:rsidRPr="00113878">
              <w:rPr>
                <w:rFonts w:ascii="Calibri" w:hAnsi="Calibri" w:cs="Calibri"/>
              </w:rPr>
              <w:t>70%</w:t>
            </w:r>
          </w:p>
        </w:tc>
      </w:tr>
    </w:tbl>
    <w:p w:rsidR="006D10AD" w:rsidRDefault="006D10AD" w:rsidP="00113878">
      <w:pPr>
        <w:rPr>
          <w:rFonts w:ascii="Calibri" w:hAnsi="Calibri" w:cs="Calibri"/>
          <w:b/>
          <w:bCs/>
        </w:rPr>
      </w:pPr>
    </w:p>
    <w:p w:rsidR="002D7B13" w:rsidRPr="00113878" w:rsidRDefault="00113878" w:rsidP="00113878">
      <w:pPr>
        <w:numPr>
          <w:ilvl w:val="0"/>
          <w:numId w:val="2"/>
        </w:numPr>
        <w:spacing w:after="0"/>
        <w:rPr>
          <w:rFonts w:ascii="Calibri" w:hAnsi="Calibri" w:cs="Calibri"/>
        </w:rPr>
      </w:pPr>
      <w:r w:rsidRPr="00113878">
        <w:rPr>
          <w:rFonts w:ascii="Calibri" w:hAnsi="Calibri" w:cs="Calibri"/>
        </w:rPr>
        <w:t>Snížení finančních prostředků pro hl. m. Prahu – o tzv. pražské obálce se stále jedná</w:t>
      </w:r>
    </w:p>
    <w:p w:rsidR="002D7B13" w:rsidRPr="00113878" w:rsidRDefault="00113878" w:rsidP="00113878">
      <w:pPr>
        <w:numPr>
          <w:ilvl w:val="0"/>
          <w:numId w:val="2"/>
        </w:numPr>
        <w:spacing w:after="0"/>
        <w:rPr>
          <w:rFonts w:ascii="Calibri" w:hAnsi="Calibri" w:cs="Calibri"/>
        </w:rPr>
      </w:pPr>
      <w:r w:rsidRPr="00113878">
        <w:rPr>
          <w:rFonts w:ascii="Calibri" w:hAnsi="Calibri" w:cs="Calibri"/>
        </w:rPr>
        <w:t xml:space="preserve">Významné snížení míry spolufinancování z rozpočtu EU a snížení zálohových plateb z EK – návrh MF na 12% u ESF a 15% ERDF – stále v jednání </w:t>
      </w:r>
    </w:p>
    <w:p w:rsidR="002D7B13" w:rsidRPr="00113878" w:rsidRDefault="00113878" w:rsidP="00113878">
      <w:pPr>
        <w:numPr>
          <w:ilvl w:val="0"/>
          <w:numId w:val="2"/>
        </w:numPr>
        <w:spacing w:after="0"/>
        <w:rPr>
          <w:rFonts w:ascii="Calibri" w:hAnsi="Calibri" w:cs="Calibri"/>
        </w:rPr>
      </w:pPr>
      <w:r w:rsidRPr="00113878">
        <w:rPr>
          <w:rFonts w:ascii="Calibri" w:hAnsi="Calibri" w:cs="Calibri"/>
        </w:rPr>
        <w:t>Mělo by být zachováno ex-ante financování</w:t>
      </w:r>
    </w:p>
    <w:p w:rsidR="002D7B13" w:rsidRDefault="00113878" w:rsidP="00113878">
      <w:pPr>
        <w:numPr>
          <w:ilvl w:val="0"/>
          <w:numId w:val="2"/>
        </w:numPr>
        <w:spacing w:after="0"/>
        <w:rPr>
          <w:rFonts w:ascii="Calibri" w:hAnsi="Calibri" w:cs="Calibri"/>
        </w:rPr>
      </w:pPr>
      <w:r w:rsidRPr="00113878">
        <w:rPr>
          <w:rFonts w:ascii="Calibri" w:hAnsi="Calibri" w:cs="Calibri"/>
        </w:rPr>
        <w:t>Zjednodušení indikátorové soustavy (méně než v programovém období 2014 –2020)</w:t>
      </w:r>
    </w:p>
    <w:p w:rsidR="006D10AD" w:rsidRPr="00113878" w:rsidRDefault="006D10AD" w:rsidP="006D10AD">
      <w:pPr>
        <w:spacing w:after="0"/>
        <w:ind w:left="720"/>
        <w:rPr>
          <w:rFonts w:ascii="Calibri" w:hAnsi="Calibri" w:cs="Calibri"/>
        </w:rPr>
      </w:pPr>
    </w:p>
    <w:p w:rsidR="00113878" w:rsidRPr="00113878" w:rsidRDefault="00113878" w:rsidP="006D10AD">
      <w:pPr>
        <w:spacing w:after="0"/>
        <w:ind w:left="720"/>
        <w:rPr>
          <w:rFonts w:ascii="Calibri" w:hAnsi="Calibri" w:cs="Calibri"/>
        </w:rPr>
      </w:pPr>
      <w:r w:rsidRPr="00113878">
        <w:rPr>
          <w:rFonts w:ascii="Calibri" w:hAnsi="Calibri" w:cs="Calibri"/>
          <w:b/>
          <w:bCs/>
        </w:rPr>
        <w:t>Další plánované kroky</w:t>
      </w:r>
    </w:p>
    <w:p w:rsidR="00113878" w:rsidRPr="00113878" w:rsidRDefault="00113878" w:rsidP="00113878">
      <w:pPr>
        <w:numPr>
          <w:ilvl w:val="0"/>
          <w:numId w:val="2"/>
        </w:numPr>
        <w:spacing w:after="0"/>
        <w:rPr>
          <w:rFonts w:ascii="Calibri" w:hAnsi="Calibri" w:cs="Calibri"/>
        </w:rPr>
      </w:pPr>
      <w:r w:rsidRPr="00113878">
        <w:rPr>
          <w:rFonts w:ascii="Calibri" w:hAnsi="Calibri" w:cs="Calibri"/>
        </w:rPr>
        <w:t>Leden 2020 – předložení návrhu textu OP JAK na MMR</w:t>
      </w:r>
    </w:p>
    <w:p w:rsidR="00113878" w:rsidRPr="00113878" w:rsidRDefault="00113878" w:rsidP="00113878">
      <w:pPr>
        <w:numPr>
          <w:ilvl w:val="0"/>
          <w:numId w:val="2"/>
        </w:numPr>
        <w:spacing w:after="0"/>
        <w:rPr>
          <w:rFonts w:ascii="Calibri" w:hAnsi="Calibri" w:cs="Calibri"/>
        </w:rPr>
      </w:pPr>
      <w:r w:rsidRPr="00113878">
        <w:rPr>
          <w:rFonts w:ascii="Calibri" w:hAnsi="Calibri" w:cs="Calibri"/>
        </w:rPr>
        <w:t>Březen 2020 - předložení Dohody o partnerství a OP JAK ke schválení vládě ČR</w:t>
      </w:r>
    </w:p>
    <w:p w:rsidR="00113878" w:rsidRPr="00113878" w:rsidRDefault="00113878" w:rsidP="00113878">
      <w:pPr>
        <w:numPr>
          <w:ilvl w:val="0"/>
          <w:numId w:val="2"/>
        </w:numPr>
        <w:spacing w:after="0"/>
        <w:rPr>
          <w:rFonts w:ascii="Calibri" w:hAnsi="Calibri" w:cs="Calibri"/>
        </w:rPr>
      </w:pPr>
      <w:r w:rsidRPr="00113878">
        <w:rPr>
          <w:rFonts w:ascii="Calibri" w:hAnsi="Calibri" w:cs="Calibri"/>
        </w:rPr>
        <w:t>2020/2021 - vydání nařízení 2021+ (EK) a Jednotného národního rámce (MMR)</w:t>
      </w:r>
    </w:p>
    <w:p w:rsidR="00113878" w:rsidRPr="00113878" w:rsidRDefault="00113878" w:rsidP="00113878">
      <w:pPr>
        <w:numPr>
          <w:ilvl w:val="0"/>
          <w:numId w:val="2"/>
        </w:numPr>
        <w:spacing w:after="0"/>
        <w:rPr>
          <w:rFonts w:ascii="Calibri" w:hAnsi="Calibri" w:cs="Calibri"/>
        </w:rPr>
      </w:pPr>
      <w:r w:rsidRPr="00113878">
        <w:rPr>
          <w:rFonts w:ascii="Calibri" w:hAnsi="Calibri" w:cs="Calibri"/>
        </w:rPr>
        <w:t>2020/2021 - předložení Dohody o partnerství k podpisu EK a předložení OP JAK ke schválení EK</w:t>
      </w:r>
    </w:p>
    <w:p w:rsidR="00113878" w:rsidRPr="00113878" w:rsidRDefault="00113878" w:rsidP="00113878">
      <w:pPr>
        <w:numPr>
          <w:ilvl w:val="0"/>
          <w:numId w:val="2"/>
        </w:numPr>
        <w:spacing w:after="0"/>
        <w:rPr>
          <w:rFonts w:ascii="Calibri" w:hAnsi="Calibri" w:cs="Calibri"/>
        </w:rPr>
      </w:pPr>
      <w:r w:rsidRPr="00113878">
        <w:rPr>
          <w:rFonts w:ascii="Calibri" w:hAnsi="Calibri" w:cs="Calibri"/>
        </w:rPr>
        <w:t>2021 – zahájení OP JAK</w:t>
      </w:r>
    </w:p>
    <w:p w:rsidR="00113878" w:rsidRDefault="00113878" w:rsidP="00113878">
      <w:pPr>
        <w:numPr>
          <w:ilvl w:val="0"/>
          <w:numId w:val="2"/>
        </w:numPr>
        <w:spacing w:after="0"/>
        <w:rPr>
          <w:rFonts w:ascii="Calibri" w:hAnsi="Calibri" w:cs="Calibri"/>
        </w:rPr>
      </w:pPr>
      <w:r w:rsidRPr="00113878">
        <w:rPr>
          <w:rFonts w:ascii="Calibri" w:hAnsi="Calibri" w:cs="Calibri"/>
        </w:rPr>
        <w:t>S ohledem na vyjednávání Víceletého finančního rámce (rozpočet EU) lze očekávat zpoždění oproti výše uvedenému harmonogramu (OPP po zkušenostech předpokládá první výzvy 2022)</w:t>
      </w:r>
    </w:p>
    <w:p w:rsidR="006D10AD" w:rsidRDefault="006D10AD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F85EE6" w:rsidRDefault="00F85EE6">
      <w:pPr>
        <w:rPr>
          <w:rFonts w:ascii="Calibri" w:hAnsi="Calibri" w:cs="Calibri"/>
        </w:rPr>
        <w:sectPr w:rsidR="00F85EE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85EE6" w:rsidRDefault="00F85EE6">
      <w:pPr>
        <w:rPr>
          <w:rFonts w:ascii="Calibri" w:hAnsi="Calibri" w:cs="Calibri"/>
        </w:rPr>
      </w:pPr>
      <w:r w:rsidRPr="00F85EE6">
        <w:rPr>
          <w:noProof/>
          <w:lang w:eastAsia="cs-CZ"/>
        </w:rPr>
        <w:lastRenderedPageBreak/>
        <w:drawing>
          <wp:inline distT="0" distB="0" distL="0" distR="0">
            <wp:extent cx="8891270" cy="6733617"/>
            <wp:effectExtent l="0" t="0" r="508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733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EE6" w:rsidRDefault="00F85EE6">
      <w:pPr>
        <w:rPr>
          <w:rFonts w:ascii="Calibri" w:hAnsi="Calibri" w:cs="Calibri"/>
        </w:rPr>
      </w:pPr>
      <w:r w:rsidRPr="00F85EE6">
        <w:rPr>
          <w:noProof/>
          <w:lang w:eastAsia="cs-CZ"/>
        </w:rPr>
        <w:lastRenderedPageBreak/>
        <w:drawing>
          <wp:inline distT="0" distB="0" distL="0" distR="0">
            <wp:extent cx="9777730" cy="6154874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154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EE6" w:rsidRDefault="00F85EE6">
      <w:pPr>
        <w:rPr>
          <w:rFonts w:ascii="Calibri" w:hAnsi="Calibri" w:cs="Calibri"/>
        </w:rPr>
      </w:pPr>
    </w:p>
    <w:p w:rsidR="00F85EE6" w:rsidRDefault="00F85EE6">
      <w:pPr>
        <w:rPr>
          <w:rFonts w:ascii="Calibri" w:hAnsi="Calibri" w:cs="Calibri"/>
        </w:rPr>
      </w:pPr>
      <w:r w:rsidRPr="00F85EE6">
        <w:rPr>
          <w:noProof/>
          <w:lang w:eastAsia="cs-CZ"/>
        </w:rPr>
        <w:lastRenderedPageBreak/>
        <w:drawing>
          <wp:inline distT="0" distB="0" distL="0" distR="0">
            <wp:extent cx="9777730" cy="250016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500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D8F" w:rsidRDefault="00F77D8F">
      <w:pPr>
        <w:rPr>
          <w:rFonts w:ascii="Calibri" w:hAnsi="Calibri" w:cs="Calibri"/>
        </w:rPr>
      </w:pPr>
    </w:p>
    <w:sectPr w:rsidR="00F77D8F" w:rsidSect="00F85EE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512FD"/>
    <w:multiLevelType w:val="hybridMultilevel"/>
    <w:tmpl w:val="6F2ED272"/>
    <w:lvl w:ilvl="0" w:tplc="DA4E7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DC6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B03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F46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EC8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2E6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30A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249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27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F1C1DC2"/>
    <w:multiLevelType w:val="multilevel"/>
    <w:tmpl w:val="B9FED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78"/>
    <w:rsid w:val="00113878"/>
    <w:rsid w:val="001729AD"/>
    <w:rsid w:val="00262D64"/>
    <w:rsid w:val="002D7B13"/>
    <w:rsid w:val="006D10AD"/>
    <w:rsid w:val="00A66825"/>
    <w:rsid w:val="00B420D0"/>
    <w:rsid w:val="00F77D8F"/>
    <w:rsid w:val="00F8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68094"/>
  <w15:chartTrackingRefBased/>
  <w15:docId w15:val="{51DCB91C-06E1-4FFB-B3D2-FC553FF7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1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13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4647">
          <w:marLeft w:val="59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424">
          <w:marLeft w:val="59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438">
          <w:marLeft w:val="59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5751">
          <w:marLeft w:val="59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Malina</dc:creator>
  <cp:keywords/>
  <dc:description/>
  <cp:lastModifiedBy>IM</cp:lastModifiedBy>
  <cp:revision>4</cp:revision>
  <dcterms:created xsi:type="dcterms:W3CDTF">2020-03-12T19:53:00Z</dcterms:created>
  <dcterms:modified xsi:type="dcterms:W3CDTF">2020-03-12T20:16:00Z</dcterms:modified>
</cp:coreProperties>
</file>