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E1" w:rsidRDefault="00D27DE1" w:rsidP="0085645D">
      <w:pPr>
        <w:jc w:val="center"/>
        <w:rPr>
          <w:b/>
          <w:sz w:val="28"/>
          <w:szCs w:val="28"/>
        </w:rPr>
      </w:pPr>
    </w:p>
    <w:p w:rsidR="0085645D" w:rsidRPr="0085645D" w:rsidRDefault="0085645D" w:rsidP="0085645D">
      <w:pPr>
        <w:jc w:val="center"/>
        <w:rPr>
          <w:b/>
          <w:sz w:val="28"/>
          <w:szCs w:val="28"/>
        </w:rPr>
      </w:pPr>
      <w:r w:rsidRPr="0085645D">
        <w:rPr>
          <w:b/>
          <w:sz w:val="28"/>
          <w:szCs w:val="28"/>
        </w:rPr>
        <w:t>HODNOCENÍ VÝUKY STUDENTY ZA ROK 201</w:t>
      </w:r>
      <w:r w:rsidR="00065409">
        <w:rPr>
          <w:b/>
          <w:sz w:val="28"/>
          <w:szCs w:val="28"/>
        </w:rPr>
        <w:t>8</w:t>
      </w:r>
      <w:r w:rsidRPr="0085645D">
        <w:rPr>
          <w:b/>
          <w:sz w:val="28"/>
          <w:szCs w:val="28"/>
        </w:rPr>
        <w:t>/201</w:t>
      </w:r>
      <w:r w:rsidR="00065409">
        <w:rPr>
          <w:b/>
          <w:sz w:val="28"/>
          <w:szCs w:val="28"/>
        </w:rPr>
        <w:t>9</w:t>
      </w:r>
    </w:p>
    <w:p w:rsidR="00BC2C09" w:rsidRDefault="0085645D">
      <w:pPr>
        <w:rPr>
          <w:b/>
        </w:rPr>
      </w:pPr>
      <w:r>
        <w:rPr>
          <w:b/>
        </w:rPr>
        <w:t>Počty hodnocení</w:t>
      </w:r>
    </w:p>
    <w:tbl>
      <w:tblPr>
        <w:tblW w:w="9120" w:type="dxa"/>
        <w:tblCellMar>
          <w:left w:w="70" w:type="dxa"/>
          <w:right w:w="70" w:type="dxa"/>
        </w:tblCellMar>
        <w:tblLook w:val="04A0" w:firstRow="1" w:lastRow="0" w:firstColumn="1" w:lastColumn="0" w:noHBand="0" w:noVBand="1"/>
      </w:tblPr>
      <w:tblGrid>
        <w:gridCol w:w="2560"/>
        <w:gridCol w:w="894"/>
        <w:gridCol w:w="894"/>
        <w:gridCol w:w="894"/>
        <w:gridCol w:w="894"/>
        <w:gridCol w:w="894"/>
        <w:gridCol w:w="894"/>
        <w:gridCol w:w="894"/>
        <w:gridCol w:w="894"/>
      </w:tblGrid>
      <w:tr w:rsidR="00065409" w:rsidRPr="00065409" w:rsidTr="00065409">
        <w:trPr>
          <w:trHeight w:val="290"/>
        </w:trPr>
        <w:tc>
          <w:tcPr>
            <w:tcW w:w="2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 </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2011/12</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2012/13</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2013/14</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2014/15</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2015/16</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2016/17</w:t>
            </w:r>
          </w:p>
        </w:tc>
        <w:tc>
          <w:tcPr>
            <w:tcW w:w="820" w:type="dxa"/>
            <w:tcBorders>
              <w:top w:val="single" w:sz="8" w:space="0" w:color="auto"/>
              <w:left w:val="nil"/>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2017/18</w:t>
            </w:r>
          </w:p>
        </w:tc>
        <w:tc>
          <w:tcPr>
            <w:tcW w:w="820" w:type="dxa"/>
            <w:tcBorders>
              <w:top w:val="single" w:sz="8" w:space="0" w:color="auto"/>
              <w:left w:val="nil"/>
              <w:bottom w:val="single" w:sz="4" w:space="0" w:color="auto"/>
              <w:right w:val="single" w:sz="8" w:space="0" w:color="auto"/>
            </w:tcBorders>
            <w:shd w:val="clear" w:color="000000" w:fill="D9D9D9"/>
            <w:noWrap/>
            <w:vAlign w:val="bottom"/>
            <w:hideMark/>
          </w:tcPr>
          <w:p w:rsidR="00065409" w:rsidRPr="00065409" w:rsidRDefault="00065409" w:rsidP="00065409">
            <w:pPr>
              <w:spacing w:after="0" w:line="240" w:lineRule="auto"/>
              <w:rPr>
                <w:rFonts w:ascii="Calibri" w:eastAsia="Times New Roman" w:hAnsi="Calibri" w:cs="Calibri"/>
                <w:color w:val="000000"/>
                <w:lang w:eastAsia="cs-CZ"/>
              </w:rPr>
            </w:pPr>
            <w:r w:rsidRPr="00065409">
              <w:rPr>
                <w:rFonts w:ascii="Calibri" w:eastAsia="Times New Roman" w:hAnsi="Calibri" w:cs="Calibri"/>
                <w:color w:val="000000"/>
                <w:lang w:eastAsia="cs-CZ"/>
              </w:rPr>
              <w:t>2018/19</w:t>
            </w:r>
          </w:p>
        </w:tc>
      </w:tr>
      <w:tr w:rsidR="00065409" w:rsidRPr="00065409" w:rsidTr="00065409">
        <w:trPr>
          <w:trHeight w:val="290"/>
        </w:trPr>
        <w:tc>
          <w:tcPr>
            <w:tcW w:w="2560" w:type="dxa"/>
            <w:tcBorders>
              <w:top w:val="nil"/>
              <w:left w:val="single" w:sz="8" w:space="0" w:color="auto"/>
              <w:bottom w:val="single" w:sz="4" w:space="0" w:color="auto"/>
              <w:right w:val="single" w:sz="4" w:space="0" w:color="auto"/>
            </w:tcBorders>
            <w:shd w:val="clear" w:color="000000" w:fill="D9D9D9"/>
            <w:noWrap/>
            <w:hideMark/>
          </w:tcPr>
          <w:p w:rsidR="00065409" w:rsidRPr="00065409" w:rsidRDefault="00065409" w:rsidP="00065409">
            <w:pPr>
              <w:spacing w:after="0" w:line="240" w:lineRule="auto"/>
              <w:rPr>
                <w:rFonts w:ascii="Arial" w:eastAsia="Times New Roman" w:hAnsi="Arial" w:cs="Arial"/>
                <w:color w:val="000000"/>
                <w:sz w:val="18"/>
                <w:szCs w:val="18"/>
                <w:lang w:eastAsia="cs-CZ"/>
              </w:rPr>
            </w:pPr>
            <w:r w:rsidRPr="00065409">
              <w:rPr>
                <w:rFonts w:ascii="Arial" w:eastAsia="Times New Roman" w:hAnsi="Arial" w:cs="Arial"/>
                <w:color w:val="000000"/>
                <w:sz w:val="18"/>
                <w:szCs w:val="18"/>
                <w:lang w:eastAsia="cs-CZ"/>
              </w:rPr>
              <w:t>Počet obecných připomínek</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112</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128</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140</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117</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113</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148</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62</w:t>
            </w:r>
          </w:p>
        </w:tc>
        <w:tc>
          <w:tcPr>
            <w:tcW w:w="820" w:type="dxa"/>
            <w:tcBorders>
              <w:top w:val="nil"/>
              <w:left w:val="nil"/>
              <w:bottom w:val="single" w:sz="4" w:space="0" w:color="auto"/>
              <w:right w:val="single" w:sz="8"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80</w:t>
            </w:r>
          </w:p>
        </w:tc>
      </w:tr>
      <w:tr w:rsidR="00065409" w:rsidRPr="00065409" w:rsidTr="00065409">
        <w:trPr>
          <w:trHeight w:val="290"/>
        </w:trPr>
        <w:tc>
          <w:tcPr>
            <w:tcW w:w="2560" w:type="dxa"/>
            <w:tcBorders>
              <w:top w:val="nil"/>
              <w:left w:val="single" w:sz="8" w:space="0" w:color="auto"/>
              <w:bottom w:val="single" w:sz="4"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Arial" w:eastAsia="Times New Roman" w:hAnsi="Arial" w:cs="Arial"/>
                <w:color w:val="000000"/>
                <w:sz w:val="18"/>
                <w:szCs w:val="18"/>
                <w:lang w:eastAsia="cs-CZ"/>
              </w:rPr>
            </w:pPr>
            <w:r w:rsidRPr="00065409">
              <w:rPr>
                <w:rFonts w:ascii="Arial" w:eastAsia="Times New Roman" w:hAnsi="Arial" w:cs="Arial"/>
                <w:color w:val="000000"/>
                <w:sz w:val="18"/>
                <w:szCs w:val="18"/>
                <w:lang w:eastAsia="cs-CZ"/>
              </w:rPr>
              <w:t>Počet připomínek k předmětům</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2127</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2508</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2970</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2132</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2638</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3025</w:t>
            </w:r>
          </w:p>
        </w:tc>
        <w:tc>
          <w:tcPr>
            <w:tcW w:w="820" w:type="dxa"/>
            <w:tcBorders>
              <w:top w:val="nil"/>
              <w:left w:val="nil"/>
              <w:bottom w:val="single" w:sz="4"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2700</w:t>
            </w:r>
          </w:p>
        </w:tc>
        <w:tc>
          <w:tcPr>
            <w:tcW w:w="820" w:type="dxa"/>
            <w:tcBorders>
              <w:top w:val="nil"/>
              <w:left w:val="nil"/>
              <w:bottom w:val="single" w:sz="4" w:space="0" w:color="auto"/>
              <w:right w:val="single" w:sz="8"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3095</w:t>
            </w:r>
          </w:p>
        </w:tc>
      </w:tr>
      <w:tr w:rsidR="00065409" w:rsidRPr="00065409" w:rsidTr="00065409">
        <w:trPr>
          <w:trHeight w:val="300"/>
        </w:trPr>
        <w:tc>
          <w:tcPr>
            <w:tcW w:w="2560" w:type="dxa"/>
            <w:tcBorders>
              <w:top w:val="nil"/>
              <w:left w:val="single" w:sz="8" w:space="0" w:color="auto"/>
              <w:bottom w:val="single" w:sz="8" w:space="0" w:color="auto"/>
              <w:right w:val="single" w:sz="4" w:space="0" w:color="auto"/>
            </w:tcBorders>
            <w:shd w:val="clear" w:color="000000" w:fill="D9D9D9"/>
            <w:noWrap/>
            <w:vAlign w:val="bottom"/>
            <w:hideMark/>
          </w:tcPr>
          <w:p w:rsidR="00065409" w:rsidRPr="00065409" w:rsidRDefault="00065409" w:rsidP="00065409">
            <w:pPr>
              <w:spacing w:after="0" w:line="240" w:lineRule="auto"/>
              <w:rPr>
                <w:rFonts w:ascii="Arial" w:eastAsia="Times New Roman" w:hAnsi="Arial" w:cs="Arial"/>
                <w:color w:val="000000"/>
                <w:sz w:val="18"/>
                <w:szCs w:val="18"/>
                <w:lang w:eastAsia="cs-CZ"/>
              </w:rPr>
            </w:pPr>
            <w:r w:rsidRPr="00065409">
              <w:rPr>
                <w:rFonts w:ascii="Arial" w:eastAsia="Times New Roman" w:hAnsi="Arial" w:cs="Arial"/>
                <w:color w:val="000000"/>
                <w:sz w:val="18"/>
                <w:szCs w:val="18"/>
                <w:lang w:eastAsia="cs-CZ"/>
              </w:rPr>
              <w:t>Počet hodnotících studentů</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823</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954</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1032</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829</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827</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889</w:t>
            </w:r>
          </w:p>
        </w:tc>
        <w:tc>
          <w:tcPr>
            <w:tcW w:w="820" w:type="dxa"/>
            <w:tcBorders>
              <w:top w:val="nil"/>
              <w:left w:val="nil"/>
              <w:bottom w:val="single" w:sz="8" w:space="0" w:color="auto"/>
              <w:right w:val="single" w:sz="4"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708</w:t>
            </w:r>
          </w:p>
        </w:tc>
        <w:tc>
          <w:tcPr>
            <w:tcW w:w="820" w:type="dxa"/>
            <w:tcBorders>
              <w:top w:val="nil"/>
              <w:left w:val="nil"/>
              <w:bottom w:val="single" w:sz="8" w:space="0" w:color="auto"/>
              <w:right w:val="single" w:sz="8" w:space="0" w:color="auto"/>
            </w:tcBorders>
            <w:shd w:val="clear" w:color="auto" w:fill="auto"/>
            <w:noWrap/>
            <w:vAlign w:val="bottom"/>
            <w:hideMark/>
          </w:tcPr>
          <w:p w:rsidR="00065409" w:rsidRPr="00065409" w:rsidRDefault="00065409" w:rsidP="00065409">
            <w:pPr>
              <w:spacing w:after="0" w:line="240" w:lineRule="auto"/>
              <w:jc w:val="right"/>
              <w:rPr>
                <w:rFonts w:ascii="Calibri" w:eastAsia="Times New Roman" w:hAnsi="Calibri" w:cs="Calibri"/>
                <w:color w:val="000000"/>
                <w:lang w:eastAsia="cs-CZ"/>
              </w:rPr>
            </w:pPr>
            <w:r w:rsidRPr="00065409">
              <w:rPr>
                <w:rFonts w:ascii="Calibri" w:eastAsia="Times New Roman" w:hAnsi="Calibri" w:cs="Calibri"/>
                <w:color w:val="000000"/>
                <w:lang w:eastAsia="cs-CZ"/>
              </w:rPr>
              <w:t>778</w:t>
            </w:r>
          </w:p>
        </w:tc>
      </w:tr>
    </w:tbl>
    <w:p w:rsidR="0085645D" w:rsidRDefault="0085645D">
      <w:pPr>
        <w:rPr>
          <w:b/>
        </w:rPr>
      </w:pPr>
    </w:p>
    <w:p w:rsidR="00065409" w:rsidRDefault="00065409">
      <w:pPr>
        <w:rPr>
          <w:b/>
        </w:rPr>
      </w:pPr>
      <w:r>
        <w:rPr>
          <w:noProof/>
          <w:lang w:eastAsia="cs-CZ"/>
        </w:rPr>
        <w:drawing>
          <wp:inline distT="0" distB="0" distL="0" distR="0" wp14:anchorId="56BCD09E" wp14:editId="13EF434A">
            <wp:extent cx="5708650" cy="2537460"/>
            <wp:effectExtent l="0" t="0" r="6350" b="1524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A0EDD" w:rsidRPr="0051637C" w:rsidRDefault="00840611">
      <w:pPr>
        <w:rPr>
          <w:b/>
        </w:rPr>
      </w:pPr>
      <w:r w:rsidRPr="0051637C">
        <w:rPr>
          <w:b/>
        </w:rPr>
        <w:t>Statistické hodnocení fakulty:</w:t>
      </w:r>
    </w:p>
    <w:p w:rsidR="00840611" w:rsidRDefault="00840611">
      <w:r>
        <w:t>Výsledky se nevymykají předchozím létům – průměrná známka je 1,</w:t>
      </w:r>
      <w:r w:rsidR="00BC2C09">
        <w:t>5</w:t>
      </w:r>
      <w:r>
        <w:t xml:space="preserve"> </w:t>
      </w:r>
      <w:r w:rsidR="00BC2C09">
        <w:t>podobně jako v předchozích letech</w:t>
      </w:r>
      <w:r>
        <w:t>.</w:t>
      </w:r>
    </w:p>
    <w:p w:rsidR="0085645D" w:rsidRDefault="0085645D">
      <w:pPr>
        <w:rPr>
          <w:b/>
        </w:rPr>
      </w:pPr>
      <w:r w:rsidRPr="0085645D">
        <w:rPr>
          <w:b/>
        </w:rPr>
        <w:t>Slovní hodnocení</w:t>
      </w:r>
    </w:p>
    <w:p w:rsidR="0085645D" w:rsidRDefault="0085645D" w:rsidP="0085645D">
      <w:pPr>
        <w:spacing w:after="0"/>
        <w:rPr>
          <w:i/>
        </w:rPr>
      </w:pPr>
      <w:r w:rsidRPr="0085645D">
        <w:rPr>
          <w:i/>
        </w:rPr>
        <w:t>1.ročník:</w:t>
      </w:r>
    </w:p>
    <w:p w:rsidR="00F44734" w:rsidRPr="00F44734" w:rsidRDefault="00F44734" w:rsidP="00FE35B8">
      <w:pPr>
        <w:shd w:val="clear" w:color="auto" w:fill="FFFFFF"/>
        <w:spacing w:after="0"/>
        <w:rPr>
          <w:rFonts w:cstheme="minorHAnsi"/>
          <w:color w:val="000000"/>
        </w:rPr>
      </w:pPr>
      <w:r w:rsidRPr="00F44734">
        <w:rPr>
          <w:rFonts w:cstheme="minorHAnsi"/>
          <w:color w:val="000000"/>
        </w:rPr>
        <w:t>Pracoviště 1. ročníku byla letos hodnocena v rozmezí fakultního průměru, jen tyto 2 ústavy měly 2 otázky pod průměrem:</w:t>
      </w:r>
    </w:p>
    <w:p w:rsidR="00F44734" w:rsidRPr="00F44734" w:rsidRDefault="00F44734" w:rsidP="00FE35B8">
      <w:pPr>
        <w:spacing w:after="0"/>
        <w:rPr>
          <w:rFonts w:cstheme="minorHAnsi"/>
        </w:rPr>
      </w:pPr>
      <w:r w:rsidRPr="00F44734">
        <w:rPr>
          <w:rFonts w:cstheme="minorHAnsi"/>
        </w:rPr>
        <w:t>Ústav biofyziky a informatiky (Negativně hodnocené otázky: Přednášky popř. semináře byly přínosné, doporučil bych je svým kolegům. Předmět, tak jak byl vyučován, považuji za smysluplný.) Studenti nevidí smysluplnost (již minimálně čtvrtý rok) výuky informatiky ať už v předmětu Informatik</w:t>
      </w:r>
      <w:r>
        <w:rPr>
          <w:rFonts w:cstheme="minorHAnsi"/>
        </w:rPr>
        <w:t>a v zubním lékařství nebo předmě</w:t>
      </w:r>
      <w:r w:rsidRPr="00F44734">
        <w:rPr>
          <w:rFonts w:cstheme="minorHAnsi"/>
        </w:rPr>
        <w:t>tu Zdravotnická informatika.</w:t>
      </w:r>
    </w:p>
    <w:p w:rsidR="00F44734" w:rsidRPr="00F44734" w:rsidRDefault="00F44734" w:rsidP="00F44734">
      <w:pPr>
        <w:rPr>
          <w:rFonts w:cstheme="minorHAnsi"/>
        </w:rPr>
      </w:pPr>
      <w:r w:rsidRPr="00F44734">
        <w:rPr>
          <w:rFonts w:cstheme="minorHAnsi"/>
        </w:rPr>
        <w:t>Ústav histologie a embryologie (Negativně hodnocené otázky: Atmosféra na pracovišti. Internetové stránky pracoviště jsou pro výuku aktuální a informativní.)</w:t>
      </w:r>
    </w:p>
    <w:p w:rsidR="0085645D" w:rsidRDefault="0085645D" w:rsidP="000C69A9">
      <w:pPr>
        <w:spacing w:after="0"/>
      </w:pPr>
      <w:r w:rsidRPr="0085645D">
        <w:rPr>
          <w:i/>
        </w:rPr>
        <w:t>2.ročník</w:t>
      </w:r>
      <w:r>
        <w:t>:</w:t>
      </w:r>
    </w:p>
    <w:p w:rsidR="00C64448" w:rsidRDefault="000C69A9">
      <w:r>
        <w:rPr>
          <w:rFonts w:cs="Arial"/>
        </w:rPr>
        <w:t>Také p</w:t>
      </w:r>
      <w:r w:rsidR="00C64448" w:rsidRPr="0085645D">
        <w:rPr>
          <w:rFonts w:cs="Arial"/>
        </w:rPr>
        <w:t>racoviš</w:t>
      </w:r>
      <w:r w:rsidR="00C64448">
        <w:rPr>
          <w:rFonts w:cs="Arial"/>
        </w:rPr>
        <w:t>t</w:t>
      </w:r>
      <w:r>
        <w:rPr>
          <w:rFonts w:cs="Arial"/>
        </w:rPr>
        <w:t>ě 2</w:t>
      </w:r>
      <w:r w:rsidR="00C64448" w:rsidRPr="0085645D">
        <w:rPr>
          <w:rFonts w:cs="Arial"/>
        </w:rPr>
        <w:t xml:space="preserve">. ročníku byla letos hodnocena </w:t>
      </w:r>
      <w:r>
        <w:rPr>
          <w:rFonts w:cs="Arial"/>
        </w:rPr>
        <w:t>vesměs</w:t>
      </w:r>
      <w:r w:rsidR="00C64448" w:rsidRPr="0085645D">
        <w:rPr>
          <w:rFonts w:cs="Arial"/>
        </w:rPr>
        <w:t xml:space="preserve"> dobře, </w:t>
      </w:r>
      <w:r>
        <w:rPr>
          <w:rFonts w:cs="Arial"/>
        </w:rPr>
        <w:t xml:space="preserve">víceméně </w:t>
      </w:r>
      <w:r w:rsidR="00C64448" w:rsidRPr="0085645D">
        <w:rPr>
          <w:rFonts w:cs="Arial"/>
        </w:rPr>
        <w:t xml:space="preserve">v rozmezí fakultního průměru, </w:t>
      </w:r>
      <w:r w:rsidR="00F86A6A">
        <w:rPr>
          <w:rFonts w:cs="Arial"/>
        </w:rPr>
        <w:t>tradičně se u všech ústavů střídala kladná i záporná hodnocení jak výuky, tak i učitelů.</w:t>
      </w:r>
      <w:r>
        <w:rPr>
          <w:rFonts w:cs="Arial"/>
        </w:rPr>
        <w:t xml:space="preserve"> </w:t>
      </w:r>
      <w:r w:rsidR="00F86A6A">
        <w:rPr>
          <w:rFonts w:cs="Arial"/>
        </w:rPr>
        <w:t xml:space="preserve">Častější výtky byly </w:t>
      </w:r>
      <w:r>
        <w:rPr>
          <w:rFonts w:cs="Arial"/>
        </w:rPr>
        <w:t xml:space="preserve">na výuku Fyziologie </w:t>
      </w:r>
      <w:r w:rsidR="008222A8">
        <w:rPr>
          <w:rFonts w:cs="Arial"/>
        </w:rPr>
        <w:t>(Negativně hodnocené otázky:</w:t>
      </w:r>
      <w:r>
        <w:rPr>
          <w:rFonts w:cs="Arial"/>
        </w:rPr>
        <w:t xml:space="preserve"> </w:t>
      </w:r>
      <w:r w:rsidR="008222A8">
        <w:rPr>
          <w:rFonts w:cs="Arial"/>
        </w:rPr>
        <w:t>A</w:t>
      </w:r>
      <w:r>
        <w:rPr>
          <w:rFonts w:cs="Arial"/>
        </w:rPr>
        <w:t>tmosfér</w:t>
      </w:r>
      <w:r w:rsidR="008222A8">
        <w:rPr>
          <w:rFonts w:cs="Arial"/>
        </w:rPr>
        <w:t>a</w:t>
      </w:r>
      <w:r>
        <w:rPr>
          <w:rFonts w:cs="Arial"/>
        </w:rPr>
        <w:t xml:space="preserve"> na pracovišti a </w:t>
      </w:r>
      <w:r w:rsidR="00E768CB">
        <w:rPr>
          <w:rFonts w:cs="Arial"/>
        </w:rPr>
        <w:t xml:space="preserve">technické zázemí, kde velkým problémem </w:t>
      </w:r>
      <w:r w:rsidR="003C728E">
        <w:rPr>
          <w:rFonts w:cs="Arial"/>
        </w:rPr>
        <w:t>byla</w:t>
      </w:r>
      <w:r w:rsidR="00E768CB">
        <w:rPr>
          <w:rFonts w:cs="Arial"/>
        </w:rPr>
        <w:t xml:space="preserve"> malá kapacita posluchárny ale i toalet</w:t>
      </w:r>
      <w:r>
        <w:rPr>
          <w:rFonts w:cs="Arial"/>
        </w:rPr>
        <w:t>.</w:t>
      </w:r>
      <w:r w:rsidR="00E768CB">
        <w:rPr>
          <w:rFonts w:cs="Arial"/>
        </w:rPr>
        <w:t xml:space="preserve"> Tento problém se však řeší v rámci rekonstrukce ústavu.</w:t>
      </w:r>
      <w:r w:rsidR="00FE35B8">
        <w:rPr>
          <w:rFonts w:cs="Arial"/>
        </w:rPr>
        <w:t>)</w:t>
      </w:r>
      <w:r w:rsidR="00E768CB">
        <w:rPr>
          <w:rFonts w:cs="Arial"/>
        </w:rPr>
        <w:t xml:space="preserve"> </w:t>
      </w:r>
      <w:r w:rsidR="004B22A2">
        <w:rPr>
          <w:rFonts w:cs="Arial"/>
        </w:rPr>
        <w:t xml:space="preserve">Jako nevýhodné </w:t>
      </w:r>
      <w:r w:rsidR="003C728E">
        <w:rPr>
          <w:rFonts w:cs="Arial"/>
        </w:rPr>
        <w:t xml:space="preserve">opakovaně </w:t>
      </w:r>
      <w:r w:rsidR="004B22A2">
        <w:rPr>
          <w:rFonts w:cs="Arial"/>
        </w:rPr>
        <w:t xml:space="preserve">pociťují studenti také </w:t>
      </w:r>
      <w:r w:rsidR="004B22A2">
        <w:rPr>
          <w:rFonts w:cs="Arial"/>
        </w:rPr>
        <w:lastRenderedPageBreak/>
        <w:t>nenavazování témat přednášek a praktických cvičení.</w:t>
      </w:r>
      <w:r w:rsidR="008222A8">
        <w:rPr>
          <w:rFonts w:cs="Arial"/>
        </w:rPr>
        <w:t>)</w:t>
      </w:r>
      <w:r w:rsidR="004B22A2">
        <w:rPr>
          <w:rFonts w:cs="Arial"/>
        </w:rPr>
        <w:t xml:space="preserve"> </w:t>
      </w:r>
      <w:r w:rsidR="00E768CB">
        <w:rPr>
          <w:rFonts w:cs="Arial"/>
        </w:rPr>
        <w:t>Naopak velmi kladně je hodnocena ve slovních komentářích výuka v simulačním centru.</w:t>
      </w:r>
    </w:p>
    <w:p w:rsidR="0085645D" w:rsidRDefault="0085645D" w:rsidP="0085645D">
      <w:pPr>
        <w:spacing w:after="0"/>
      </w:pPr>
      <w:r w:rsidRPr="0085645D">
        <w:rPr>
          <w:i/>
        </w:rPr>
        <w:t>3.ročník</w:t>
      </w:r>
      <w:r>
        <w:t>:</w:t>
      </w:r>
    </w:p>
    <w:p w:rsidR="002C329E" w:rsidRDefault="002C329E" w:rsidP="002C329E">
      <w:pPr>
        <w:rPr>
          <w:rFonts w:eastAsia="Times New Roman"/>
          <w:i/>
        </w:rPr>
      </w:pPr>
      <w:r>
        <w:t xml:space="preserve">Třetí ročník je i přes jeho náročnost dobře hodnocen. Zásadním problémem zůstává nevyrovnanost </w:t>
      </w:r>
      <w:r w:rsidR="00FE35B8">
        <w:t>P</w:t>
      </w:r>
      <w:r>
        <w:t xml:space="preserve">atologie a </w:t>
      </w:r>
      <w:r w:rsidR="00FE35B8">
        <w:t>P</w:t>
      </w:r>
      <w:r>
        <w:t xml:space="preserve">atologické </w:t>
      </w:r>
      <w:proofErr w:type="gramStart"/>
      <w:r>
        <w:t>fyziologie - studenti</w:t>
      </w:r>
      <w:proofErr w:type="gramEnd"/>
      <w:r>
        <w:t xml:space="preserve"> si jsou vědomi, že obojí jsou základní kameny pro další studium, avšak vnímají upozadění „</w:t>
      </w:r>
      <w:proofErr w:type="spellStart"/>
      <w:r>
        <w:t>patfyz</w:t>
      </w:r>
      <w:proofErr w:type="spellEnd"/>
      <w:r>
        <w:t xml:space="preserve">“, rádi by se jí věnovali více, bohužel jsou celý rok plně zaměstnáni studiem patologie, tudíž na patologickou fyziologii zůstává méně času. U patofyziologie je nicméně </w:t>
      </w:r>
      <w:r w:rsidRPr="005D06CE">
        <w:rPr>
          <w:rFonts w:cstheme="minorHAnsi"/>
          <w:szCs w:val="24"/>
        </w:rPr>
        <w:t>negativně hodnocena přínosnost přednášek a seminářů, negativně hodnocena</w:t>
      </w:r>
      <w:r w:rsidR="00FE35B8">
        <w:rPr>
          <w:rFonts w:cstheme="minorHAnsi"/>
          <w:szCs w:val="24"/>
        </w:rPr>
        <w:t xml:space="preserve"> jsou</w:t>
      </w:r>
      <w:r w:rsidRPr="005D06CE">
        <w:rPr>
          <w:rFonts w:cstheme="minorHAnsi"/>
          <w:szCs w:val="24"/>
        </w:rPr>
        <w:t xml:space="preserve"> i praktická cvičení – mělo by být méně teorie a více kazuistik</w:t>
      </w:r>
      <w:r>
        <w:rPr>
          <w:rFonts w:cstheme="minorHAnsi"/>
          <w:szCs w:val="24"/>
        </w:rPr>
        <w:t>.</w:t>
      </w:r>
      <w:r w:rsidRPr="005D06CE">
        <w:rPr>
          <w:rFonts w:cstheme="minorHAnsi"/>
          <w:szCs w:val="24"/>
        </w:rPr>
        <w:t xml:space="preserve"> </w:t>
      </w:r>
      <w:r>
        <w:rPr>
          <w:rFonts w:cstheme="minorHAnsi"/>
          <w:szCs w:val="24"/>
        </w:rPr>
        <w:t>N</w:t>
      </w:r>
      <w:r w:rsidRPr="005D06CE">
        <w:rPr>
          <w:rFonts w:cstheme="minorHAnsi"/>
          <w:szCs w:val="24"/>
        </w:rPr>
        <w:t>aopak velmi pozitivně hodnocena atmosféra na pracovišti a vstřícnost vyučujících, jejich komunikace a týmovost</w:t>
      </w:r>
      <w:r w:rsidRPr="005D06CE">
        <w:rPr>
          <w:rFonts w:cstheme="minorHAnsi"/>
          <w:szCs w:val="24"/>
        </w:rPr>
        <w:br/>
      </w:r>
      <w:r>
        <w:t>V </w:t>
      </w:r>
      <w:r w:rsidR="00FE35B8">
        <w:t>M</w:t>
      </w:r>
      <w:r>
        <w:t>ikrobiologii by</w:t>
      </w:r>
      <w:r w:rsidR="008222A8">
        <w:t xml:space="preserve">la opět negativně hodnocena otázka atmosféry na pracovišti </w:t>
      </w:r>
      <w:r>
        <w:t xml:space="preserve">a </w:t>
      </w:r>
      <w:r w:rsidR="008222A8">
        <w:t xml:space="preserve">také přínos </w:t>
      </w:r>
      <w:proofErr w:type="gramStart"/>
      <w:r w:rsidR="008222A8">
        <w:t xml:space="preserve">a </w:t>
      </w:r>
      <w:r>
        <w:t xml:space="preserve"> atraktivnost</w:t>
      </w:r>
      <w:proofErr w:type="gramEnd"/>
      <w:r>
        <w:t xml:space="preserve"> přednášek, zároveň </w:t>
      </w:r>
      <w:r w:rsidR="008222A8">
        <w:t>by studenti přivítali i jejich</w:t>
      </w:r>
      <w:r>
        <w:t xml:space="preserve"> časové přehodnocení. Týká se to i bloku mikrobiologie i patologie, který je umístěn v naprosto nevhodnou dobu semestru – těsně před psaním zápočtových testů a potřebou se učit na zkoušku (paradoxně na zkoušku z</w:t>
      </w:r>
      <w:r w:rsidR="00E73155">
        <w:t> </w:t>
      </w:r>
      <w:r>
        <w:t>mikrobiologie</w:t>
      </w:r>
      <w:r w:rsidR="00E73155">
        <w:t>)</w:t>
      </w:r>
      <w:r>
        <w:t>.</w:t>
      </w:r>
      <w:r>
        <w:br/>
        <w:t xml:space="preserve">Určitě ještě stojí za vypíchnutí </w:t>
      </w:r>
      <w:r w:rsidR="00E73155">
        <w:t>I</w:t>
      </w:r>
      <w:r>
        <w:t>nterní propedeutika, kterou studenti přímo hltají a jsou vděčni za jakýkoliv kontakt s pacienty, možná by to chtělo na tuto dráhu nasměrovat i chirurgickou propedeutiku, která se často odehrává pouze formou přednášek v zasedačkách.</w:t>
      </w:r>
    </w:p>
    <w:p w:rsidR="00EA4E1E" w:rsidRDefault="00EA4E1E" w:rsidP="00372ED5">
      <w:pPr>
        <w:spacing w:after="0"/>
        <w:rPr>
          <w:rFonts w:eastAsia="Times New Roman"/>
        </w:rPr>
      </w:pPr>
      <w:r>
        <w:rPr>
          <w:rFonts w:eastAsia="Times New Roman"/>
          <w:i/>
        </w:rPr>
        <w:t>4.ročník</w:t>
      </w:r>
      <w:r>
        <w:rPr>
          <w:rFonts w:eastAsia="Times New Roman"/>
        </w:rPr>
        <w:t>:</w:t>
      </w:r>
    </w:p>
    <w:p w:rsidR="008222A8" w:rsidRDefault="006C06F5" w:rsidP="00E73155">
      <w:pPr>
        <w:spacing w:after="0"/>
      </w:pPr>
      <w:r>
        <w:t xml:space="preserve">V rámci hodnocení předmětů 4. ročníku panuje značná variabilita. Jako nejproblematičtější jsou vnímány předměty Klinická imunologie, Bioetika 2, Klinická psychologie a psychoterapie 3 a Stomatologie. Za zmínku stojí i špatné hodnocení výuky ortopedie na Ortopedické klinice 1.LF a Nemocnice Na Bulovce. </w:t>
      </w:r>
    </w:p>
    <w:p w:rsidR="008222A8" w:rsidRDefault="006C06F5" w:rsidP="00E73155">
      <w:pPr>
        <w:spacing w:after="0"/>
      </w:pPr>
      <w:r>
        <w:t xml:space="preserve">Předmět chirurgie v rámci číselného hodnocení odpovídá fakultnímu průměru. Na všech chirurgických klinikách je </w:t>
      </w:r>
      <w:r w:rsidR="008222A8">
        <w:t xml:space="preserve">ale </w:t>
      </w:r>
      <w:r>
        <w:t>poměrně špatně hodnocena přínosnost stáží, jejich pojetí a organizace.</w:t>
      </w:r>
    </w:p>
    <w:p w:rsidR="004B22A2" w:rsidRDefault="006C06F5" w:rsidP="004B22A2">
      <w:r>
        <w:t xml:space="preserve">Na opačné straně spektra stojí </w:t>
      </w:r>
      <w:r w:rsidR="008222A8">
        <w:t xml:space="preserve">velmi dobře hodnocená </w:t>
      </w:r>
      <w:r>
        <w:t>výuka předmětů Očního lékařství, ORL, Nukleární medicíny a Radiodiagnostiky. Ostatní se pohybují ve fakultním průměru. Připomínky studentů, které jsou rozepsané u jednotlivých předmětů se shodují s připomínkami z minulého roku.</w:t>
      </w:r>
    </w:p>
    <w:p w:rsidR="00EA4E1E" w:rsidRDefault="00EA4E1E" w:rsidP="00EA4E1E">
      <w:pPr>
        <w:spacing w:after="0"/>
        <w:rPr>
          <w:rFonts w:eastAsia="Times New Roman"/>
        </w:rPr>
      </w:pPr>
      <w:r w:rsidRPr="00EA4E1E">
        <w:rPr>
          <w:rFonts w:eastAsia="Times New Roman"/>
          <w:i/>
        </w:rPr>
        <w:t>5.ročník</w:t>
      </w:r>
      <w:r>
        <w:rPr>
          <w:rFonts w:eastAsia="Times New Roman"/>
        </w:rPr>
        <w:t>:</w:t>
      </w:r>
    </w:p>
    <w:p w:rsidR="005F37A9" w:rsidRDefault="008D4AC0" w:rsidP="00E73155">
      <w:pPr>
        <w:spacing w:after="0"/>
      </w:pPr>
      <w:r>
        <w:t xml:space="preserve">Tak jako v předchozích letech jsou velmi kladně hodnoceny předměty Neurologie, jako obor s výborně organizovanými stážemi, Gynekologie (partnerský přístup vyučujících, podíl praktické výuky i kvalita přednášek), Neurochirurgie (především pak osobnost </w:t>
      </w:r>
      <w:proofErr w:type="spellStart"/>
      <w:proofErr w:type="gramStart"/>
      <w:r>
        <w:t>doc.Plase</w:t>
      </w:r>
      <w:proofErr w:type="spellEnd"/>
      <w:proofErr w:type="gramEnd"/>
      <w:r>
        <w:t>), Rehabilitace, Onkologie (kde je výtka pouze k malému kontaktu s pacienty), Psychiatrie (studenti navrhují zahrnout do stáží i výuku psychologie) a Interna.</w:t>
      </w:r>
    </w:p>
    <w:p w:rsidR="008D4AC0" w:rsidRDefault="008D4AC0" w:rsidP="00CE20BE">
      <w:r>
        <w:t>Obecně jsou předměty 5.ročníku hodnoceny kladně, velmi je oceňováno zařazení simulační výuky do předmětu Kardiovaskulární medicíny.</w:t>
      </w:r>
    </w:p>
    <w:p w:rsidR="001C185E" w:rsidRDefault="001C185E" w:rsidP="000874E7">
      <w:pPr>
        <w:spacing w:before="240" w:after="0" w:line="240" w:lineRule="auto"/>
        <w:rPr>
          <w:rFonts w:eastAsia="Times New Roman" w:cs="Times New Roman"/>
          <w:lang w:eastAsia="cs-CZ"/>
        </w:rPr>
      </w:pPr>
      <w:r>
        <w:rPr>
          <w:rFonts w:eastAsia="Times New Roman" w:cs="Times New Roman"/>
          <w:i/>
          <w:lang w:eastAsia="cs-CZ"/>
        </w:rPr>
        <w:t>6.ročník</w:t>
      </w:r>
      <w:r>
        <w:rPr>
          <w:rFonts w:eastAsia="Times New Roman" w:cs="Times New Roman"/>
          <w:lang w:eastAsia="cs-CZ"/>
        </w:rPr>
        <w:t>:</w:t>
      </w:r>
    </w:p>
    <w:p w:rsidR="00CE20BE" w:rsidRDefault="00256D0A" w:rsidP="00E73155">
      <w:pPr>
        <w:spacing w:after="0"/>
      </w:pPr>
      <w:r>
        <w:t xml:space="preserve">Počet hodnocení v 6. ročníku je omezen tím, že studenti nemohou po dokončení poslední </w:t>
      </w:r>
      <w:proofErr w:type="spellStart"/>
      <w:r>
        <w:t>SRZk</w:t>
      </w:r>
      <w:proofErr w:type="spellEnd"/>
      <w:r>
        <w:t xml:space="preserve"> předměty hodnotit. Vzhledem k probíhající debatě </w:t>
      </w:r>
      <w:r>
        <w:t>o hodnocení výuky absolventy je tentokrát</w:t>
      </w:r>
      <w:r>
        <w:t xml:space="preserve"> zpráv</w:t>
      </w:r>
      <w:r>
        <w:t>a</w:t>
      </w:r>
      <w:r>
        <w:t xml:space="preserve"> za tento ročník rozsáhlej</w:t>
      </w:r>
      <w:r>
        <w:t>ší</w:t>
      </w:r>
      <w:r>
        <w:t>, než je obvyklé</w:t>
      </w:r>
      <w:r>
        <w:t>. Přitom za relevantní jsou uváděna hodnocení s limitem minimálně 10 hodnotících studentů.</w:t>
      </w:r>
      <w:r>
        <w:t xml:space="preserve"> Zmiňované problémy v</w:t>
      </w:r>
      <w:r>
        <w:t> letošním hodnocení</w:t>
      </w:r>
      <w:r>
        <w:t xml:space="preserve"> jsou velmi podobné bodům probíraným v diskusích s absolventy a bohužel jsou také v některých negativních bodech stejné jako dřívější roky.</w:t>
      </w:r>
      <w:r>
        <w:t xml:space="preserve"> </w:t>
      </w:r>
      <w:r>
        <w:t xml:space="preserve">Obecně je v hodnocení všech předmětů zmiňováno, že by bylo vhodné, aby se věnovalo víc času </w:t>
      </w:r>
      <w:proofErr w:type="spellStart"/>
      <w:r>
        <w:t>předstátnicovým</w:t>
      </w:r>
      <w:proofErr w:type="spellEnd"/>
      <w:r>
        <w:t xml:space="preserve"> stážím a zvýšil se volný čas na studium, zatímco ostatní předměty mohou být přesunuty do nižších ročníků. Kvalita výuky je negativně hodnocena především na stážích z </w:t>
      </w:r>
      <w:r w:rsidR="00E73155">
        <w:t>C</w:t>
      </w:r>
      <w:r>
        <w:t xml:space="preserve">hirurgie a </w:t>
      </w:r>
      <w:r w:rsidR="00E73155">
        <w:t>P</w:t>
      </w:r>
      <w:r>
        <w:t>ediatrie, z </w:t>
      </w:r>
      <w:proofErr w:type="spellStart"/>
      <w:r>
        <w:t>předstátnicových</w:t>
      </w:r>
      <w:proofErr w:type="spellEnd"/>
      <w:r>
        <w:t xml:space="preserve"> stáží je nejlépe hodnocena </w:t>
      </w:r>
      <w:r w:rsidR="00E73155">
        <w:t>G</w:t>
      </w:r>
      <w:r>
        <w:t xml:space="preserve">ynekologie. </w:t>
      </w:r>
      <w:r>
        <w:lastRenderedPageBreak/>
        <w:t>Nestátnicové předměty jsou většinou hodnoceny dobře, ovšem vždy v kontextu nevhodnosti jejich zařazení do 6. ročníku. Tyto stížnosti jsou největší v případě Klinické biochemie, která je také negativně hodnocena statisticky.</w:t>
      </w:r>
      <w:r>
        <w:t xml:space="preserve"> Kritizován je i </w:t>
      </w:r>
      <w:proofErr w:type="spellStart"/>
      <w:r>
        <w:t>logbook</w:t>
      </w:r>
      <w:proofErr w:type="spellEnd"/>
      <w:r>
        <w:t>, který se podle studentů stává formalitou, která nevede ke zvýšení reálně odvedených praktických výkonů.</w:t>
      </w:r>
    </w:p>
    <w:p w:rsidR="00256D0A" w:rsidRDefault="00256D0A" w:rsidP="00E73155">
      <w:pPr>
        <w:spacing w:after="0"/>
      </w:pPr>
      <w:r w:rsidRPr="00256D0A">
        <w:t xml:space="preserve">Klinická biochemie je hodnocena podprůměrně, </w:t>
      </w:r>
      <w:r>
        <w:t>zejména v bodě smysluplnosti předmětu a v bodě zařazení do 6.ročníku. Zcela identické je hodnocení Urologie.</w:t>
      </w:r>
    </w:p>
    <w:p w:rsidR="00256D0A" w:rsidRDefault="00256D0A" w:rsidP="00256D0A">
      <w:r>
        <w:t>Kladně jsou naopak hodnoceny předměty Primární péče a Anesteziologie a neodkladná medicína (zde by studenti opět přivítali zařazení do nižšího ročníku ale také větší hodinovou dotaci.</w:t>
      </w:r>
    </w:p>
    <w:p w:rsidR="00256D0A" w:rsidRDefault="003854C0" w:rsidP="00256D0A">
      <w:proofErr w:type="spellStart"/>
      <w:r>
        <w:t>Předstátnicové</w:t>
      </w:r>
      <w:proofErr w:type="spellEnd"/>
      <w:r>
        <w:t xml:space="preserve"> předměty:</w:t>
      </w:r>
    </w:p>
    <w:p w:rsidR="003854C0" w:rsidRDefault="003854C0" w:rsidP="00E73155">
      <w:pPr>
        <w:spacing w:after="0"/>
        <w:ind w:firstLine="284"/>
      </w:pPr>
      <w:r>
        <w:t xml:space="preserve">Veřejné zdravotnictví a medicínské právo: </w:t>
      </w:r>
      <w:r>
        <w:t>Statistické hodnocení stáže je většinově pozitivní, hlavní stížnosti jsou na nedostupnost studijních zdrojů. Z psaných komentářů vyplývá dobrá kvalita i organizace předmětu, připomínky na nedostupnost studijních zdrojů jsou vyváženy tím, že dle studentů dobře pokrývají otázky přednášky. Kvalita těchto přednášek však významně kolísá dle vyučujících, některá témata jsou tedy probrána nedostatečně.</w:t>
      </w:r>
    </w:p>
    <w:p w:rsidR="003854C0" w:rsidRDefault="003854C0" w:rsidP="00E73155">
      <w:pPr>
        <w:spacing w:after="0"/>
        <w:ind w:firstLine="284"/>
      </w:pPr>
      <w:r>
        <w:t xml:space="preserve">Pediatrie: </w:t>
      </w:r>
      <w:r>
        <w:t>Výuka pediatrie má velké množství hodnocení. Statistické hodnocení výuky pediatrie je rozdílné pro různá pracoviště. Ve VFN je spíše negativní, obzvláště pro negativní atmosféru na pracovišti, spíše pozitivně je poté hodnocena výuka v Thomayerově nemocnici. Pro pediatrii obecně je velmi negativně hodnocen nedostatek adekvátních studijních zdrojů.</w:t>
      </w:r>
      <w:r>
        <w:t xml:space="preserve"> </w:t>
      </w:r>
      <w:r>
        <w:t xml:space="preserve">Někteří vyučující také požadují při zkoušce podrobné informace, které lze velmi obtížně dohledat, nebo se v učebnicích obvykle neuvádějí a nebyly zmíněny v příslušné přednášce (například požadované všechny sérotypy ve vakcíně </w:t>
      </w:r>
      <w:proofErr w:type="spellStart"/>
      <w:r>
        <w:t>Prevenar</w:t>
      </w:r>
      <w:proofErr w:type="spellEnd"/>
      <w:r>
        <w:t xml:space="preserve"> 13). Student tedy neví, do jaké míry se problematiku učit a co je podle zkoušejících podstatné.</w:t>
      </w:r>
    </w:p>
    <w:p w:rsidR="003854C0" w:rsidRDefault="003854C0" w:rsidP="00E73155">
      <w:pPr>
        <w:spacing w:after="0"/>
        <w:ind w:firstLine="284"/>
      </w:pPr>
      <w:r>
        <w:t xml:space="preserve">Chirurgie: </w:t>
      </w:r>
      <w:r>
        <w:t>Statisticky se jedná o velmi negativně hodnocený předmět na většině pracovišť ve většině ohledů (organizace stáží, přínosnost, smysluplnost, atmosféra na pracovišti). Nejhůře je hodnocena výuka na I. Chirurgické klinice VFN, nejlépe je hodnocena výuka na II. Chirurgické klinice VFN</w:t>
      </w:r>
      <w:r>
        <w:t xml:space="preserve">, celkem kladně je hodnocena i výuka na </w:t>
      </w:r>
      <w:r>
        <w:t xml:space="preserve">III. </w:t>
      </w:r>
      <w:proofErr w:type="spellStart"/>
      <w:r>
        <w:t>Chir</w:t>
      </w:r>
      <w:proofErr w:type="spellEnd"/>
      <w:r>
        <w:t>. Klinice v Motole.</w:t>
      </w:r>
      <w:r>
        <w:t xml:space="preserve"> </w:t>
      </w:r>
      <w:r>
        <w:t>Princip střídání klinik má smíšené ohlasy (jedná se o první ročník s novým systémem). Studenti zmiňují, že jim umožňuje poznat větší množství operačních výkonů a širší spektrum pacientů. Na druhou stranu se objevují stížnosti na organizační problémy (než se studenti či učitelé naučí systém na dané klinice, zase mění působiště). Tyto nedostatky však dle studentů mohou být způsobeny zavedením nového systému, a tak mají potenciál se brzy zlepšit.</w:t>
      </w:r>
    </w:p>
    <w:p w:rsidR="003854C0" w:rsidRDefault="003854C0" w:rsidP="00E73155">
      <w:pPr>
        <w:spacing w:after="0"/>
        <w:ind w:firstLine="284"/>
      </w:pPr>
      <w:r>
        <w:t xml:space="preserve">Gynekologie a porodnictví: </w:t>
      </w:r>
      <w:r w:rsidR="0001073C">
        <w:t>Stáž z G/P u Apolináře je u studentů statisticky pozitivně hodnocena, největší problém je dle studentů nedostupnost kvalitních studijních materiálů.</w:t>
      </w:r>
      <w:r w:rsidR="0001073C">
        <w:t xml:space="preserve"> </w:t>
      </w:r>
      <w:r w:rsidR="0001073C">
        <w:t xml:space="preserve">Slovní komentáře často zmiňují G/P jako nejlepší </w:t>
      </w:r>
      <w:proofErr w:type="spellStart"/>
      <w:r w:rsidR="0001073C">
        <w:t>předstátnicovou</w:t>
      </w:r>
      <w:proofErr w:type="spellEnd"/>
      <w:r w:rsidR="0001073C">
        <w:t xml:space="preserve"> stáž s dobrou organizací, a především s velkou chválou na přístup personálu. Mimo jiné je pozitivně hodnocen e-</w:t>
      </w:r>
      <w:proofErr w:type="spellStart"/>
      <w:r w:rsidR="0001073C">
        <w:t>learning</w:t>
      </w:r>
      <w:proofErr w:type="spellEnd"/>
      <w:r w:rsidR="0001073C">
        <w:t xml:space="preserve"> kliniky. Mezi možné připomínky lze zařadit opakující se stížnost na nepřínosné ranní stáže před začátkem přednášky, pokud probíhaly na lůžkovém oddělení. Dále se opakovaly negativní reakce na některé otázky k </w:t>
      </w:r>
      <w:proofErr w:type="spellStart"/>
      <w:r w:rsidR="0001073C">
        <w:t>SRZk</w:t>
      </w:r>
      <w:proofErr w:type="spellEnd"/>
      <w:r w:rsidR="0001073C">
        <w:t xml:space="preserve">, které nejsou dostupné v literatuře a ve výuce jim nebyl věnován dostatek času, případně se i někteří vyučující divili, proč byly tyto otázky do </w:t>
      </w:r>
      <w:proofErr w:type="spellStart"/>
      <w:r w:rsidR="0001073C">
        <w:t>SRZk</w:t>
      </w:r>
      <w:proofErr w:type="spellEnd"/>
      <w:r w:rsidR="0001073C">
        <w:t xml:space="preserve"> zařazeny.</w:t>
      </w:r>
    </w:p>
    <w:p w:rsidR="0001073C" w:rsidRDefault="0001073C" w:rsidP="00E73155">
      <w:pPr>
        <w:ind w:firstLine="284"/>
      </w:pPr>
      <w:r>
        <w:t xml:space="preserve">Interna: </w:t>
      </w:r>
      <w:r>
        <w:t xml:space="preserve">Výuka </w:t>
      </w:r>
      <w:proofErr w:type="spellStart"/>
      <w:r>
        <w:t>předstátnicové</w:t>
      </w:r>
      <w:proofErr w:type="spellEnd"/>
      <w:r>
        <w:t xml:space="preserve"> stáže z interny se zakládá na vlastním výběru kliniky studenty. Statistické hodnocení jednotlivých ústavů je tedy závislé na tom, kolik </w:t>
      </w:r>
      <w:proofErr w:type="gramStart"/>
      <w:r>
        <w:t>studentů</w:t>
      </w:r>
      <w:proofErr w:type="gramEnd"/>
      <w:r>
        <w:t xml:space="preserve"> na které klinice stážovalo, ale je na všech klinikách pozitivní. Kliniky také nabízí různé množství míst pro stážisty. Vzhledem k různému (ale nízkému) množství hodnotících nelze kliniky statisticky porovnat.</w:t>
      </w:r>
      <w:r>
        <w:t xml:space="preserve"> </w:t>
      </w:r>
      <w:r>
        <w:t xml:space="preserve">Z hlediska komentářů k myšlence </w:t>
      </w:r>
      <w:proofErr w:type="spellStart"/>
      <w:r>
        <w:t>předstátnicové</w:t>
      </w:r>
      <w:proofErr w:type="spellEnd"/>
      <w:r>
        <w:t xml:space="preserve"> stáže jako celku se často zmiňuje nedostatek času na zopakování interny ke státní zkoušce (pouze 3 týdny), více studentů navrhuje přesunutí </w:t>
      </w:r>
      <w:proofErr w:type="spellStart"/>
      <w:r>
        <w:t>SRZk</w:t>
      </w:r>
      <w:proofErr w:type="spellEnd"/>
      <w:r>
        <w:t xml:space="preserve"> do 5. ročníku, případně rozšíření výuky v šestém ročníku.</w:t>
      </w:r>
    </w:p>
    <w:p w:rsidR="001C185E" w:rsidRDefault="001C185E" w:rsidP="00EA4E1E">
      <w:pPr>
        <w:spacing w:after="0" w:line="240" w:lineRule="auto"/>
      </w:pPr>
      <w:r>
        <w:rPr>
          <w:i/>
        </w:rPr>
        <w:lastRenderedPageBreak/>
        <w:t>Zubní lékařství</w:t>
      </w:r>
      <w:r>
        <w:t>:</w:t>
      </w:r>
    </w:p>
    <w:p w:rsidR="00CE20BE" w:rsidRDefault="0001073C" w:rsidP="0001073C">
      <w:r>
        <w:t xml:space="preserve">V hodnocení stomatologických předmětů se oproti předchozímu roku zmírnily výtky k organizaci </w:t>
      </w:r>
      <w:proofErr w:type="spellStart"/>
      <w:r>
        <w:t>endodoncie</w:t>
      </w:r>
      <w:proofErr w:type="spellEnd"/>
      <w:r>
        <w:t>, i když se stále objevují problémy se zařazením výuky do rozvrhu. Zlepšilo se také hodnocení předmětu Preklinické zubní lékařství, byť studenti stále poukazují na řadu dílčích organizačních problémů. Upozorňují také na nedostatek vybavení a materiálu pro výuku tohoto předmětu. Studenti anglické paralelky postrádají dostupnější studijní materiály pro tento předmět. Několik respondentů se domnívá, že předmět Preventivní zubní lékařství není v současné podobě přínosný.</w:t>
      </w:r>
      <w:r w:rsidR="00D47510">
        <w:t xml:space="preserve"> </w:t>
      </w:r>
      <w:r>
        <w:t xml:space="preserve">Studenti </w:t>
      </w:r>
      <w:r w:rsidR="00D47510">
        <w:t>naopak</w:t>
      </w:r>
      <w:r>
        <w:t xml:space="preserve"> chválí organizaci dětského zubního lékařství včetně zařazení letní praxe. Mají však připomínky k závěrečnému testu z tohoto předmětu, opakovaně poukazují na krátký čas na zodpovězení otázek. Opakovaně se objevují výhrady i k zápočtu z protetiky, jehož podmínky byly dle respondentů zveřejněny velmi pozdě.</w:t>
      </w:r>
    </w:p>
    <w:p w:rsidR="001C185E" w:rsidRDefault="001C185E" w:rsidP="00EA4E1E">
      <w:pPr>
        <w:spacing w:after="0" w:line="240" w:lineRule="auto"/>
      </w:pPr>
      <w:r>
        <w:rPr>
          <w:i/>
        </w:rPr>
        <w:t>Nelékařské obory</w:t>
      </w:r>
      <w:r>
        <w:t>:</w:t>
      </w:r>
    </w:p>
    <w:p w:rsidR="001C185E" w:rsidRPr="001C185E" w:rsidRDefault="001C185E" w:rsidP="00E73155">
      <w:pPr>
        <w:spacing w:line="240" w:lineRule="auto"/>
      </w:pPr>
      <w:r w:rsidRPr="001C185E">
        <w:rPr>
          <w:rFonts w:cs="Arial"/>
        </w:rPr>
        <w:t xml:space="preserve">U předmětů a učitelů bakalářských oborů je vzhledem k malému počtu hodnocení a hodnotících složité dělat závěry. </w:t>
      </w:r>
      <w:r w:rsidR="00D47510">
        <w:rPr>
          <w:rFonts w:cs="Arial"/>
        </w:rPr>
        <w:t>P</w:t>
      </w:r>
      <w:r w:rsidR="00D47510">
        <w:t xml:space="preserve">okud vůbec tedy lze z </w:t>
      </w:r>
      <w:proofErr w:type="spellStart"/>
      <w:r w:rsidR="00D47510">
        <w:t>jednoosobnostních</w:t>
      </w:r>
      <w:proofErr w:type="spellEnd"/>
      <w:r w:rsidR="00D47510">
        <w:t xml:space="preserve"> hodnocení hodnotit, tak vesměs jsou nelékařské předměty i vyučující hodnoceni kladně, známkou prakticky 1, zcela ojediněle 2 a 1x </w:t>
      </w:r>
      <w:r w:rsidR="00D47510">
        <w:t>bylo</w:t>
      </w:r>
      <w:r w:rsidR="00D47510">
        <w:t xml:space="preserve"> hodnocení 3.</w:t>
      </w:r>
    </w:p>
    <w:p w:rsidR="006307E6" w:rsidRPr="0051637C" w:rsidRDefault="006307E6">
      <w:pPr>
        <w:rPr>
          <w:b/>
        </w:rPr>
      </w:pPr>
      <w:r w:rsidRPr="0051637C">
        <w:rPr>
          <w:b/>
        </w:rPr>
        <w:t>Statistické hodnocení učitelů:</w:t>
      </w:r>
    </w:p>
    <w:p w:rsidR="00046E3F" w:rsidRDefault="00CE20BE">
      <w:r>
        <w:t xml:space="preserve">V hodnocení učitelů došlo ke zvýšení počtu hodnocení v klinických ročnících </w:t>
      </w:r>
      <w:r w:rsidR="00F63CB8">
        <w:t xml:space="preserve">(prakticky polovina nejlépe hodnocených učitelů je tentokrát z klinických pracovišť) </w:t>
      </w:r>
      <w:r>
        <w:t>a celkově se zlepšily i průměrné známky, kterými studenti pedagogy hodnotili. V následující tabulce je uvedeno 1</w:t>
      </w:r>
      <w:r w:rsidR="00F80924">
        <w:t>0</w:t>
      </w:r>
      <w:r>
        <w:t xml:space="preserve"> n</w:t>
      </w:r>
      <w:r w:rsidR="00046E3F">
        <w:t>ejlépe hodnocen</w:t>
      </w:r>
      <w:r w:rsidR="00261103">
        <w:t xml:space="preserve">ých </w:t>
      </w:r>
      <w:r>
        <w:t>pedagogů fakulty</w:t>
      </w:r>
      <w:r w:rsidR="00760708">
        <w:t xml:space="preserve"> (do známky 1,1</w:t>
      </w:r>
      <w:r w:rsidR="00FE35B8">
        <w:t>)</w:t>
      </w:r>
      <w:r w:rsidR="00760708">
        <w:t xml:space="preserve"> hodnocených alespoň 30 studenty</w:t>
      </w:r>
      <w:r>
        <w:t xml:space="preserve">, </w:t>
      </w:r>
      <w:r w:rsidR="00046E3F">
        <w:t xml:space="preserve">červeně </w:t>
      </w:r>
      <w:r w:rsidR="00261103">
        <w:t xml:space="preserve">jsou </w:t>
      </w:r>
      <w:r w:rsidR="00046E3F">
        <w:t>označeni ti, kteří byli mezi nejlépe hodnocenými již vloni.</w:t>
      </w:r>
    </w:p>
    <w:tbl>
      <w:tblPr>
        <w:tblW w:w="9204" w:type="dxa"/>
        <w:tblCellMar>
          <w:left w:w="70" w:type="dxa"/>
          <w:right w:w="70" w:type="dxa"/>
        </w:tblCellMar>
        <w:tblLook w:val="04A0" w:firstRow="1" w:lastRow="0" w:firstColumn="1" w:lastColumn="0" w:noHBand="0" w:noVBand="1"/>
      </w:tblPr>
      <w:tblGrid>
        <w:gridCol w:w="5004"/>
        <w:gridCol w:w="2508"/>
        <w:gridCol w:w="741"/>
        <w:gridCol w:w="951"/>
      </w:tblGrid>
      <w:tr w:rsidR="00261103" w:rsidRPr="00261103" w:rsidTr="00261103">
        <w:trPr>
          <w:trHeight w:val="290"/>
        </w:trPr>
        <w:tc>
          <w:tcPr>
            <w:tcW w:w="5004" w:type="dxa"/>
            <w:tcBorders>
              <w:top w:val="single" w:sz="8" w:space="0" w:color="auto"/>
              <w:left w:val="single" w:sz="8" w:space="0" w:color="auto"/>
              <w:bottom w:val="single" w:sz="4" w:space="0" w:color="auto"/>
              <w:right w:val="single" w:sz="4" w:space="0" w:color="auto"/>
            </w:tcBorders>
            <w:shd w:val="clear" w:color="000000" w:fill="F2F2F2"/>
            <w:noWrap/>
            <w:vAlign w:val="bottom"/>
            <w:hideMark/>
          </w:tcPr>
          <w:p w:rsidR="00261103" w:rsidRPr="00261103" w:rsidRDefault="00261103" w:rsidP="00261103">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Ústav</w:t>
            </w:r>
          </w:p>
        </w:tc>
        <w:tc>
          <w:tcPr>
            <w:tcW w:w="2508" w:type="dxa"/>
            <w:tcBorders>
              <w:top w:val="single" w:sz="8" w:space="0" w:color="auto"/>
              <w:left w:val="nil"/>
              <w:bottom w:val="single" w:sz="4" w:space="0" w:color="auto"/>
              <w:right w:val="single" w:sz="4" w:space="0" w:color="auto"/>
            </w:tcBorders>
            <w:shd w:val="clear" w:color="000000" w:fill="F2F2F2"/>
            <w:noWrap/>
            <w:vAlign w:val="bottom"/>
            <w:hideMark/>
          </w:tcPr>
          <w:p w:rsidR="00261103" w:rsidRPr="00261103" w:rsidRDefault="00261103" w:rsidP="00261103">
            <w:pPr>
              <w:spacing w:after="0" w:line="240" w:lineRule="auto"/>
              <w:ind w:right="-227"/>
              <w:rPr>
                <w:rFonts w:ascii="Calibri" w:eastAsia="Times New Roman" w:hAnsi="Calibri" w:cs="Calibri"/>
                <w:color w:val="000000"/>
                <w:lang w:eastAsia="cs-CZ"/>
              </w:rPr>
            </w:pPr>
            <w:r w:rsidRPr="00261103">
              <w:rPr>
                <w:rFonts w:ascii="Calibri" w:eastAsia="Times New Roman" w:hAnsi="Calibri" w:cs="Calibri"/>
                <w:color w:val="000000"/>
                <w:lang w:eastAsia="cs-CZ"/>
              </w:rPr>
              <w:t> Příjmení, Jméno</w:t>
            </w:r>
          </w:p>
        </w:tc>
        <w:tc>
          <w:tcPr>
            <w:tcW w:w="741" w:type="dxa"/>
            <w:tcBorders>
              <w:top w:val="single" w:sz="8" w:space="0" w:color="auto"/>
              <w:left w:val="nil"/>
              <w:bottom w:val="single" w:sz="4" w:space="0" w:color="auto"/>
              <w:right w:val="single" w:sz="4" w:space="0" w:color="auto"/>
            </w:tcBorders>
            <w:shd w:val="clear" w:color="000000" w:fill="F2F2F2"/>
            <w:noWrap/>
            <w:vAlign w:val="bottom"/>
            <w:hideMark/>
          </w:tcPr>
          <w:p w:rsidR="00261103" w:rsidRPr="00261103" w:rsidRDefault="00261103" w:rsidP="00261103">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Počet</w:t>
            </w:r>
          </w:p>
        </w:tc>
        <w:tc>
          <w:tcPr>
            <w:tcW w:w="951" w:type="dxa"/>
            <w:tcBorders>
              <w:top w:val="single" w:sz="8" w:space="0" w:color="auto"/>
              <w:left w:val="nil"/>
              <w:bottom w:val="single" w:sz="4" w:space="0" w:color="auto"/>
              <w:right w:val="single" w:sz="8" w:space="0" w:color="auto"/>
            </w:tcBorders>
            <w:shd w:val="clear" w:color="000000" w:fill="F2F2F2"/>
            <w:noWrap/>
            <w:vAlign w:val="bottom"/>
            <w:hideMark/>
          </w:tcPr>
          <w:p w:rsidR="00261103" w:rsidRPr="00261103" w:rsidRDefault="00261103" w:rsidP="00261103">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 xml:space="preserve">Průměr </w:t>
            </w:r>
          </w:p>
        </w:tc>
      </w:tr>
      <w:tr w:rsidR="00261103" w:rsidRPr="00261103" w:rsidTr="00760708">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tcPr>
          <w:p w:rsidR="00261103" w:rsidRPr="00261103" w:rsidRDefault="00760708" w:rsidP="00261103">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Anatomický ústav</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760708" w:rsidP="00261103">
            <w:pPr>
              <w:spacing w:after="0" w:line="240" w:lineRule="auto"/>
              <w:rPr>
                <w:rFonts w:ascii="Calibri" w:eastAsia="Times New Roman" w:hAnsi="Calibri" w:cs="Calibri"/>
                <w:color w:val="FF0000"/>
                <w:lang w:eastAsia="cs-CZ"/>
              </w:rPr>
            </w:pPr>
            <w:r>
              <w:rPr>
                <w:rFonts w:ascii="Calibri" w:eastAsia="Times New Roman" w:hAnsi="Calibri" w:cs="Calibri"/>
                <w:lang w:eastAsia="cs-CZ"/>
              </w:rPr>
              <w:t>Valášek Petr</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760708" w:rsidP="00261103">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40</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760708"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Pr>
                <w:rFonts w:ascii="Calibri" w:eastAsia="Times New Roman" w:hAnsi="Calibri" w:cs="Calibri"/>
                <w:color w:val="000000"/>
                <w:lang w:eastAsia="cs-CZ"/>
              </w:rPr>
              <w:t>3</w:t>
            </w:r>
          </w:p>
        </w:tc>
      </w:tr>
      <w:tr w:rsidR="00261103" w:rsidRPr="00261103" w:rsidTr="00CE20BE">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hideMark/>
          </w:tcPr>
          <w:p w:rsidR="00261103" w:rsidRPr="00261103" w:rsidRDefault="00760708" w:rsidP="0026110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Radiodiagnostická klinika</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760708" w:rsidP="00261103">
            <w:pPr>
              <w:spacing w:after="0" w:line="240" w:lineRule="auto"/>
              <w:rPr>
                <w:rFonts w:ascii="Calibri" w:eastAsia="Times New Roman" w:hAnsi="Calibri" w:cs="Calibri"/>
                <w:color w:val="000000"/>
                <w:lang w:eastAsia="cs-CZ"/>
              </w:rPr>
            </w:pPr>
            <w:r w:rsidRPr="00760708">
              <w:rPr>
                <w:rFonts w:ascii="Calibri" w:eastAsia="Times New Roman" w:hAnsi="Calibri" w:cs="Calibri"/>
                <w:lang w:eastAsia="cs-CZ"/>
              </w:rPr>
              <w:t>Beneš Jiří</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760708" w:rsidP="00261103">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45</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sidR="009117D2">
              <w:rPr>
                <w:rFonts w:ascii="Calibri" w:eastAsia="Times New Roman" w:hAnsi="Calibri" w:cs="Calibri"/>
                <w:color w:val="000000"/>
                <w:lang w:eastAsia="cs-CZ"/>
              </w:rPr>
              <w:t>3</w:t>
            </w:r>
          </w:p>
        </w:tc>
      </w:tr>
      <w:tr w:rsidR="00261103" w:rsidRPr="00261103" w:rsidTr="00CE20BE">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hideMark/>
          </w:tcPr>
          <w:p w:rsidR="00261103" w:rsidRPr="00261103" w:rsidRDefault="00760708" w:rsidP="0026110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Ústav biofyziky a informatiky</w:t>
            </w:r>
            <w:r w:rsidR="00261103" w:rsidRPr="00261103">
              <w:rPr>
                <w:rFonts w:ascii="Calibri" w:eastAsia="Times New Roman" w:hAnsi="Calibri" w:cs="Calibri"/>
                <w:color w:val="000000"/>
                <w:lang w:eastAsia="cs-CZ"/>
              </w:rPr>
              <w:t xml:space="preserve"> </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760708" w:rsidP="0026110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Zeman Jan</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3</w:t>
            </w:r>
            <w:r w:rsidR="00760708">
              <w:rPr>
                <w:rFonts w:ascii="Calibri" w:eastAsia="Times New Roman" w:hAnsi="Calibri" w:cs="Calibri"/>
                <w:color w:val="000000"/>
                <w:lang w:eastAsia="cs-CZ"/>
              </w:rPr>
              <w:t>0</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sidR="009117D2">
              <w:rPr>
                <w:rFonts w:ascii="Calibri" w:eastAsia="Times New Roman" w:hAnsi="Calibri" w:cs="Calibri"/>
                <w:color w:val="000000"/>
                <w:lang w:eastAsia="cs-CZ"/>
              </w:rPr>
              <w:t>3</w:t>
            </w:r>
          </w:p>
        </w:tc>
      </w:tr>
      <w:tr w:rsidR="00261103" w:rsidRPr="00261103" w:rsidTr="00CE20BE">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hideMark/>
          </w:tcPr>
          <w:p w:rsidR="00261103" w:rsidRPr="00261103" w:rsidRDefault="009117D2" w:rsidP="00261103">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Ústav tělesné výchovy</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760708" w:rsidP="00261103">
            <w:pPr>
              <w:spacing w:after="0" w:line="240" w:lineRule="auto"/>
              <w:rPr>
                <w:rFonts w:ascii="Calibri" w:eastAsia="Times New Roman" w:hAnsi="Calibri" w:cs="Calibri"/>
                <w:color w:val="000000"/>
                <w:lang w:eastAsia="cs-CZ"/>
              </w:rPr>
            </w:pPr>
            <w:proofErr w:type="spellStart"/>
            <w:r>
              <w:rPr>
                <w:rFonts w:ascii="Calibri" w:eastAsia="Times New Roman" w:hAnsi="Calibri" w:cs="Calibri"/>
                <w:lang w:eastAsia="cs-CZ"/>
              </w:rPr>
              <w:t>Ochetzová</w:t>
            </w:r>
            <w:proofErr w:type="spellEnd"/>
            <w:r>
              <w:rPr>
                <w:rFonts w:ascii="Calibri" w:eastAsia="Times New Roman" w:hAnsi="Calibri" w:cs="Calibri"/>
                <w:lang w:eastAsia="cs-CZ"/>
              </w:rPr>
              <w:t xml:space="preserve"> Eliška</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760708" w:rsidP="009117D2">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31</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sidR="00760708">
              <w:rPr>
                <w:rFonts w:ascii="Calibri" w:eastAsia="Times New Roman" w:hAnsi="Calibri" w:cs="Calibri"/>
                <w:color w:val="000000"/>
                <w:lang w:eastAsia="cs-CZ"/>
              </w:rPr>
              <w:t>5</w:t>
            </w:r>
          </w:p>
        </w:tc>
      </w:tr>
      <w:tr w:rsidR="00261103" w:rsidRPr="00261103" w:rsidTr="00CE20BE">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hideMark/>
          </w:tcPr>
          <w:p w:rsidR="00261103" w:rsidRPr="00261103" w:rsidRDefault="00760708" w:rsidP="00261103">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Ústav tělesné výchovy</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760708" w:rsidP="009117D2">
            <w:pPr>
              <w:spacing w:after="0" w:line="240" w:lineRule="auto"/>
              <w:rPr>
                <w:rFonts w:ascii="Calibri" w:eastAsia="Times New Roman" w:hAnsi="Calibri" w:cs="Calibri"/>
                <w:color w:val="000000"/>
                <w:lang w:eastAsia="cs-CZ"/>
              </w:rPr>
            </w:pPr>
            <w:r w:rsidRPr="00760708">
              <w:rPr>
                <w:rFonts w:ascii="Calibri" w:eastAsia="Times New Roman" w:hAnsi="Calibri" w:cs="Calibri"/>
                <w:color w:val="FF0000"/>
                <w:lang w:eastAsia="cs-CZ"/>
              </w:rPr>
              <w:t>Trnka Ondřej</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760708" w:rsidP="00261103">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44</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sidR="00760708">
              <w:rPr>
                <w:rFonts w:ascii="Calibri" w:eastAsia="Times New Roman" w:hAnsi="Calibri" w:cs="Calibri"/>
                <w:color w:val="000000"/>
                <w:lang w:eastAsia="cs-CZ"/>
              </w:rPr>
              <w:t>5</w:t>
            </w:r>
          </w:p>
        </w:tc>
      </w:tr>
      <w:tr w:rsidR="00261103" w:rsidRPr="00261103" w:rsidTr="00760708">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tcPr>
          <w:p w:rsidR="00261103" w:rsidRPr="00261103" w:rsidRDefault="00760708" w:rsidP="009117D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Dermatovenerologická klinika</w:t>
            </w:r>
          </w:p>
        </w:tc>
        <w:tc>
          <w:tcPr>
            <w:tcW w:w="2508" w:type="dxa"/>
            <w:tcBorders>
              <w:top w:val="nil"/>
              <w:left w:val="nil"/>
              <w:bottom w:val="single" w:sz="4" w:space="0" w:color="auto"/>
              <w:right w:val="single" w:sz="4" w:space="0" w:color="auto"/>
            </w:tcBorders>
            <w:shd w:val="clear" w:color="auto" w:fill="auto"/>
            <w:noWrap/>
            <w:vAlign w:val="bottom"/>
          </w:tcPr>
          <w:p w:rsidR="00261103" w:rsidRPr="00FE35B8" w:rsidRDefault="00760708" w:rsidP="009117D2">
            <w:pPr>
              <w:spacing w:after="0" w:line="240" w:lineRule="auto"/>
              <w:rPr>
                <w:rFonts w:ascii="Calibri" w:eastAsia="Times New Roman" w:hAnsi="Calibri" w:cs="Calibri"/>
                <w:color w:val="FF0000"/>
                <w:lang w:eastAsia="cs-CZ"/>
              </w:rPr>
            </w:pPr>
            <w:r w:rsidRPr="00FE35B8">
              <w:rPr>
                <w:rFonts w:ascii="Calibri" w:eastAsia="Times New Roman" w:hAnsi="Calibri" w:cs="Calibri"/>
                <w:color w:val="FF0000"/>
                <w:lang w:eastAsia="cs-CZ"/>
              </w:rPr>
              <w:t>Kodet Ondřej</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9117D2" w:rsidP="00261103">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w:t>
            </w:r>
            <w:r w:rsidR="00760708">
              <w:rPr>
                <w:rFonts w:ascii="Calibri" w:eastAsia="Times New Roman" w:hAnsi="Calibri" w:cs="Calibri"/>
                <w:color w:val="000000"/>
                <w:lang w:eastAsia="cs-CZ"/>
              </w:rPr>
              <w:t>1</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sidR="00760708">
              <w:rPr>
                <w:rFonts w:ascii="Calibri" w:eastAsia="Times New Roman" w:hAnsi="Calibri" w:cs="Calibri"/>
                <w:color w:val="000000"/>
                <w:lang w:eastAsia="cs-CZ"/>
              </w:rPr>
              <w:t>5</w:t>
            </w:r>
          </w:p>
        </w:tc>
      </w:tr>
      <w:tr w:rsidR="00261103" w:rsidRPr="00261103" w:rsidTr="00760708">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tcPr>
          <w:p w:rsidR="00261103" w:rsidRPr="00261103" w:rsidRDefault="00760708" w:rsidP="009117D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Klinika infekčních nemocí </w:t>
            </w:r>
            <w:r w:rsidRPr="007666E3">
              <w:rPr>
                <w:rFonts w:ascii="Calibri" w:eastAsia="Times New Roman" w:hAnsi="Calibri" w:cs="Calibri"/>
                <w:color w:val="000000"/>
                <w:lang w:eastAsia="cs-CZ"/>
              </w:rPr>
              <w:t>1. LF a ÚVN</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760708" w:rsidP="009117D2">
            <w:pPr>
              <w:spacing w:after="0" w:line="240" w:lineRule="auto"/>
              <w:rPr>
                <w:rFonts w:ascii="Calibri" w:eastAsia="Times New Roman" w:hAnsi="Calibri" w:cs="Calibri"/>
                <w:color w:val="000000"/>
                <w:lang w:eastAsia="cs-CZ"/>
              </w:rPr>
            </w:pPr>
            <w:proofErr w:type="spellStart"/>
            <w:r w:rsidRPr="00760708">
              <w:rPr>
                <w:rFonts w:ascii="Calibri" w:eastAsia="Times New Roman" w:hAnsi="Calibri" w:cs="Calibri"/>
                <w:color w:val="FF0000"/>
                <w:lang w:eastAsia="cs-CZ"/>
              </w:rPr>
              <w:t>Arientová</w:t>
            </w:r>
            <w:proofErr w:type="spellEnd"/>
            <w:r w:rsidRPr="00760708">
              <w:rPr>
                <w:rFonts w:ascii="Calibri" w:eastAsia="Times New Roman" w:hAnsi="Calibri" w:cs="Calibri"/>
                <w:color w:val="FF0000"/>
                <w:lang w:eastAsia="cs-CZ"/>
              </w:rPr>
              <w:t xml:space="preserve"> Simona</w:t>
            </w:r>
          </w:p>
        </w:tc>
        <w:tc>
          <w:tcPr>
            <w:tcW w:w="741" w:type="dxa"/>
            <w:tcBorders>
              <w:top w:val="nil"/>
              <w:left w:val="nil"/>
              <w:bottom w:val="single" w:sz="4" w:space="0" w:color="auto"/>
              <w:right w:val="single" w:sz="4" w:space="0" w:color="auto"/>
            </w:tcBorders>
            <w:shd w:val="clear" w:color="auto" w:fill="auto"/>
            <w:noWrap/>
            <w:vAlign w:val="bottom"/>
          </w:tcPr>
          <w:p w:rsidR="00261103" w:rsidRPr="00261103" w:rsidRDefault="00760708" w:rsidP="00261103">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38</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9117D2">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sidR="00F177E9">
              <w:rPr>
                <w:rFonts w:ascii="Calibri" w:eastAsia="Times New Roman" w:hAnsi="Calibri" w:cs="Calibri"/>
                <w:color w:val="000000"/>
                <w:lang w:eastAsia="cs-CZ"/>
              </w:rPr>
              <w:t>6</w:t>
            </w:r>
          </w:p>
        </w:tc>
      </w:tr>
      <w:tr w:rsidR="00F177E9" w:rsidRPr="00261103" w:rsidTr="009117D2">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tcPr>
          <w:p w:rsidR="00F177E9" w:rsidRPr="00261103" w:rsidRDefault="00F177E9" w:rsidP="00F177E9">
            <w:pPr>
              <w:spacing w:after="0" w:line="240" w:lineRule="auto"/>
              <w:rPr>
                <w:rFonts w:ascii="Calibri" w:eastAsia="Times New Roman" w:hAnsi="Calibri" w:cs="Calibri"/>
                <w:color w:val="000000"/>
                <w:lang w:eastAsia="cs-CZ"/>
              </w:rPr>
            </w:pPr>
            <w:r w:rsidRPr="00261103">
              <w:rPr>
                <w:rFonts w:ascii="Calibri" w:eastAsia="Times New Roman" w:hAnsi="Calibri" w:cs="Calibri"/>
                <w:color w:val="000000"/>
                <w:lang w:eastAsia="cs-CZ"/>
              </w:rPr>
              <w:t xml:space="preserve">Fyziologický ústav </w:t>
            </w:r>
          </w:p>
        </w:tc>
        <w:tc>
          <w:tcPr>
            <w:tcW w:w="2508" w:type="dxa"/>
            <w:tcBorders>
              <w:top w:val="nil"/>
              <w:left w:val="nil"/>
              <w:bottom w:val="single" w:sz="4" w:space="0" w:color="auto"/>
              <w:right w:val="single" w:sz="4" w:space="0" w:color="auto"/>
            </w:tcBorders>
            <w:shd w:val="clear" w:color="auto" w:fill="auto"/>
            <w:noWrap/>
            <w:vAlign w:val="bottom"/>
          </w:tcPr>
          <w:p w:rsidR="00F177E9" w:rsidRPr="00261103" w:rsidRDefault="00F177E9" w:rsidP="00F177E9">
            <w:pPr>
              <w:spacing w:after="0" w:line="240" w:lineRule="auto"/>
              <w:rPr>
                <w:rFonts w:ascii="Calibri" w:eastAsia="Times New Roman" w:hAnsi="Calibri" w:cs="Calibri"/>
                <w:color w:val="000000"/>
                <w:lang w:eastAsia="cs-CZ"/>
              </w:rPr>
            </w:pPr>
            <w:proofErr w:type="spellStart"/>
            <w:r w:rsidRPr="00261103">
              <w:rPr>
                <w:rFonts w:ascii="Calibri" w:eastAsia="Times New Roman" w:hAnsi="Calibri" w:cs="Calibri"/>
                <w:color w:val="FF0000"/>
                <w:lang w:eastAsia="cs-CZ"/>
              </w:rPr>
              <w:t>Kittnar</w:t>
            </w:r>
            <w:proofErr w:type="spellEnd"/>
            <w:r w:rsidRPr="00261103">
              <w:rPr>
                <w:rFonts w:ascii="Calibri" w:eastAsia="Times New Roman" w:hAnsi="Calibri" w:cs="Calibri"/>
                <w:color w:val="FF0000"/>
                <w:lang w:eastAsia="cs-CZ"/>
              </w:rPr>
              <w:t xml:space="preserve"> Otomar</w:t>
            </w:r>
          </w:p>
        </w:tc>
        <w:tc>
          <w:tcPr>
            <w:tcW w:w="741" w:type="dxa"/>
            <w:tcBorders>
              <w:top w:val="nil"/>
              <w:left w:val="nil"/>
              <w:bottom w:val="single" w:sz="4" w:space="0" w:color="auto"/>
              <w:right w:val="single" w:sz="4" w:space="0" w:color="auto"/>
            </w:tcBorders>
            <w:shd w:val="clear" w:color="auto" w:fill="auto"/>
            <w:noWrap/>
            <w:vAlign w:val="bottom"/>
            <w:hideMark/>
          </w:tcPr>
          <w:p w:rsidR="00F177E9" w:rsidRPr="00261103" w:rsidRDefault="00AF6678" w:rsidP="00F177E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51</w:t>
            </w:r>
          </w:p>
        </w:tc>
        <w:tc>
          <w:tcPr>
            <w:tcW w:w="951" w:type="dxa"/>
            <w:tcBorders>
              <w:top w:val="nil"/>
              <w:left w:val="nil"/>
              <w:bottom w:val="single" w:sz="4" w:space="0" w:color="auto"/>
              <w:right w:val="single" w:sz="8" w:space="0" w:color="auto"/>
            </w:tcBorders>
            <w:shd w:val="clear" w:color="auto" w:fill="auto"/>
            <w:noWrap/>
            <w:vAlign w:val="bottom"/>
            <w:hideMark/>
          </w:tcPr>
          <w:p w:rsidR="00F177E9" w:rsidRPr="00261103" w:rsidRDefault="00F177E9" w:rsidP="00F177E9">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1,0</w:t>
            </w:r>
            <w:r>
              <w:rPr>
                <w:rFonts w:ascii="Calibri" w:eastAsia="Times New Roman" w:hAnsi="Calibri" w:cs="Calibri"/>
                <w:color w:val="000000"/>
                <w:lang w:eastAsia="cs-CZ"/>
              </w:rPr>
              <w:t>7</w:t>
            </w:r>
          </w:p>
        </w:tc>
      </w:tr>
      <w:tr w:rsidR="00261103" w:rsidRPr="00261103" w:rsidTr="00CE20BE">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hideMark/>
          </w:tcPr>
          <w:p w:rsidR="00261103" w:rsidRPr="00261103" w:rsidRDefault="00FE35B8" w:rsidP="007666E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Ústav biologie a lékařské genetiky</w:t>
            </w:r>
            <w:r w:rsidR="007666E3" w:rsidRPr="007666E3">
              <w:rPr>
                <w:rFonts w:ascii="Calibri" w:eastAsia="Times New Roman" w:hAnsi="Calibri" w:cs="Calibri"/>
                <w:color w:val="000000"/>
                <w:lang w:eastAsia="cs-CZ"/>
              </w:rPr>
              <w:t xml:space="preserve"> </w:t>
            </w:r>
          </w:p>
        </w:tc>
        <w:tc>
          <w:tcPr>
            <w:tcW w:w="2508" w:type="dxa"/>
            <w:tcBorders>
              <w:top w:val="nil"/>
              <w:left w:val="nil"/>
              <w:bottom w:val="single" w:sz="4" w:space="0" w:color="auto"/>
              <w:right w:val="single" w:sz="4" w:space="0" w:color="auto"/>
            </w:tcBorders>
            <w:shd w:val="clear" w:color="auto" w:fill="auto"/>
            <w:noWrap/>
            <w:vAlign w:val="bottom"/>
          </w:tcPr>
          <w:p w:rsidR="00261103" w:rsidRPr="00261103" w:rsidRDefault="00FE35B8" w:rsidP="00261103">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Kotlas Jaroslav</w:t>
            </w:r>
          </w:p>
        </w:tc>
        <w:tc>
          <w:tcPr>
            <w:tcW w:w="741" w:type="dxa"/>
            <w:tcBorders>
              <w:top w:val="nil"/>
              <w:left w:val="nil"/>
              <w:bottom w:val="single" w:sz="4" w:space="0" w:color="auto"/>
              <w:right w:val="single" w:sz="4" w:space="0" w:color="auto"/>
            </w:tcBorders>
            <w:shd w:val="clear" w:color="auto" w:fill="auto"/>
            <w:noWrap/>
            <w:vAlign w:val="bottom"/>
            <w:hideMark/>
          </w:tcPr>
          <w:p w:rsidR="00261103" w:rsidRPr="00261103" w:rsidRDefault="00FE35B8" w:rsidP="00261103">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34</w:t>
            </w:r>
          </w:p>
        </w:tc>
        <w:tc>
          <w:tcPr>
            <w:tcW w:w="951" w:type="dxa"/>
            <w:tcBorders>
              <w:top w:val="nil"/>
              <w:left w:val="nil"/>
              <w:bottom w:val="single" w:sz="4" w:space="0" w:color="auto"/>
              <w:right w:val="single" w:sz="8" w:space="0" w:color="auto"/>
            </w:tcBorders>
            <w:shd w:val="clear" w:color="auto" w:fill="auto"/>
            <w:noWrap/>
            <w:vAlign w:val="bottom"/>
            <w:hideMark/>
          </w:tcPr>
          <w:p w:rsidR="00261103" w:rsidRPr="00261103" w:rsidRDefault="00261103" w:rsidP="007666E3">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w:t>
            </w:r>
            <w:r w:rsidR="007666E3">
              <w:rPr>
                <w:rFonts w:ascii="Calibri" w:eastAsia="Times New Roman" w:hAnsi="Calibri" w:cs="Calibri"/>
                <w:color w:val="000000"/>
                <w:lang w:eastAsia="cs-CZ"/>
              </w:rPr>
              <w:t>0</w:t>
            </w:r>
            <w:r w:rsidR="00FE35B8">
              <w:rPr>
                <w:rFonts w:ascii="Calibri" w:eastAsia="Times New Roman" w:hAnsi="Calibri" w:cs="Calibri"/>
                <w:color w:val="000000"/>
                <w:lang w:eastAsia="cs-CZ"/>
              </w:rPr>
              <w:t>8</w:t>
            </w:r>
          </w:p>
        </w:tc>
      </w:tr>
      <w:tr w:rsidR="00760708" w:rsidRPr="00261103" w:rsidTr="00FE35B8">
        <w:trPr>
          <w:trHeight w:val="290"/>
        </w:trPr>
        <w:tc>
          <w:tcPr>
            <w:tcW w:w="5004" w:type="dxa"/>
            <w:tcBorders>
              <w:top w:val="nil"/>
              <w:left w:val="single" w:sz="8" w:space="0" w:color="auto"/>
              <w:bottom w:val="single" w:sz="4" w:space="0" w:color="auto"/>
              <w:right w:val="single" w:sz="4" w:space="0" w:color="auto"/>
            </w:tcBorders>
            <w:shd w:val="clear" w:color="auto" w:fill="auto"/>
            <w:noWrap/>
            <w:vAlign w:val="bottom"/>
          </w:tcPr>
          <w:p w:rsidR="00760708" w:rsidRPr="00261103" w:rsidRDefault="00FE35B8" w:rsidP="00760708">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Ústav tělovýchovného lékařství</w:t>
            </w:r>
          </w:p>
        </w:tc>
        <w:tc>
          <w:tcPr>
            <w:tcW w:w="2508" w:type="dxa"/>
            <w:tcBorders>
              <w:top w:val="nil"/>
              <w:left w:val="nil"/>
              <w:bottom w:val="single" w:sz="4" w:space="0" w:color="auto"/>
              <w:right w:val="single" w:sz="4" w:space="0" w:color="auto"/>
            </w:tcBorders>
            <w:shd w:val="clear" w:color="auto" w:fill="auto"/>
            <w:noWrap/>
            <w:vAlign w:val="bottom"/>
          </w:tcPr>
          <w:p w:rsidR="00760708" w:rsidRPr="00261103" w:rsidRDefault="00FE35B8" w:rsidP="00760708">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Vilikus Zdeněk</w:t>
            </w:r>
          </w:p>
        </w:tc>
        <w:tc>
          <w:tcPr>
            <w:tcW w:w="741" w:type="dxa"/>
            <w:tcBorders>
              <w:top w:val="nil"/>
              <w:left w:val="nil"/>
              <w:bottom w:val="single" w:sz="4" w:space="0" w:color="auto"/>
              <w:right w:val="single" w:sz="4" w:space="0" w:color="auto"/>
            </w:tcBorders>
            <w:shd w:val="clear" w:color="auto" w:fill="auto"/>
            <w:noWrap/>
            <w:vAlign w:val="bottom"/>
          </w:tcPr>
          <w:p w:rsidR="00760708" w:rsidRPr="00261103" w:rsidRDefault="00FE35B8" w:rsidP="00760708">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41</w:t>
            </w:r>
          </w:p>
        </w:tc>
        <w:tc>
          <w:tcPr>
            <w:tcW w:w="951" w:type="dxa"/>
            <w:tcBorders>
              <w:top w:val="nil"/>
              <w:left w:val="nil"/>
              <w:bottom w:val="single" w:sz="4" w:space="0" w:color="auto"/>
              <w:right w:val="single" w:sz="8" w:space="0" w:color="auto"/>
            </w:tcBorders>
            <w:shd w:val="clear" w:color="auto" w:fill="auto"/>
            <w:noWrap/>
            <w:vAlign w:val="bottom"/>
            <w:hideMark/>
          </w:tcPr>
          <w:p w:rsidR="00760708" w:rsidRPr="00261103" w:rsidRDefault="00760708" w:rsidP="00760708">
            <w:pPr>
              <w:spacing w:after="0" w:line="240" w:lineRule="auto"/>
              <w:jc w:val="right"/>
              <w:rPr>
                <w:rFonts w:ascii="Calibri" w:eastAsia="Times New Roman" w:hAnsi="Calibri" w:cs="Calibri"/>
                <w:color w:val="000000"/>
                <w:lang w:eastAsia="cs-CZ"/>
              </w:rPr>
            </w:pPr>
            <w:r w:rsidRPr="00261103">
              <w:rPr>
                <w:rFonts w:ascii="Calibri" w:eastAsia="Times New Roman" w:hAnsi="Calibri" w:cs="Calibri"/>
                <w:color w:val="000000"/>
                <w:lang w:eastAsia="cs-CZ"/>
              </w:rPr>
              <w:t>1,</w:t>
            </w:r>
            <w:r>
              <w:rPr>
                <w:rFonts w:ascii="Calibri" w:eastAsia="Times New Roman" w:hAnsi="Calibri" w:cs="Calibri"/>
                <w:color w:val="000000"/>
                <w:lang w:eastAsia="cs-CZ"/>
              </w:rPr>
              <w:t>0</w:t>
            </w:r>
            <w:r w:rsidR="00FE35B8">
              <w:rPr>
                <w:rFonts w:ascii="Calibri" w:eastAsia="Times New Roman" w:hAnsi="Calibri" w:cs="Calibri"/>
                <w:color w:val="000000"/>
                <w:lang w:eastAsia="cs-CZ"/>
              </w:rPr>
              <w:t>9</w:t>
            </w:r>
          </w:p>
        </w:tc>
      </w:tr>
    </w:tbl>
    <w:p w:rsidR="00E73155" w:rsidRDefault="00E73155"/>
    <w:p w:rsidR="007666E3" w:rsidRDefault="007666E3">
      <w:bookmarkStart w:id="0" w:name="_GoBack"/>
      <w:bookmarkEnd w:id="0"/>
      <w:r>
        <w:t>I u</w:t>
      </w:r>
      <w:r w:rsidR="00261103">
        <w:t xml:space="preserve"> nejhůře hodnocených </w:t>
      </w:r>
      <w:r>
        <w:t xml:space="preserve">pedagogů </w:t>
      </w:r>
      <w:r w:rsidR="00261103">
        <w:t>dochází k postupnému zlepšování známek, jediným pedagogem, kter</w:t>
      </w:r>
      <w:r>
        <w:t>ého hodnotilo více než 30 studentů a dostal známku horší než 2,5</w:t>
      </w:r>
      <w:r w:rsidR="005A3952">
        <w:t xml:space="preserve">, byl </w:t>
      </w:r>
      <w:r w:rsidR="00FE35B8">
        <w:t>opět d</w:t>
      </w:r>
      <w:r w:rsidR="005A3952">
        <w:t xml:space="preserve">oc. Jan </w:t>
      </w:r>
      <w:proofErr w:type="spellStart"/>
      <w:r w:rsidR="005A3952">
        <w:t>Payne</w:t>
      </w:r>
      <w:proofErr w:type="spellEnd"/>
      <w:r w:rsidR="005A3952">
        <w:t xml:space="preserve">. I v jeho případě ale </w:t>
      </w:r>
      <w:r w:rsidR="00FE35B8">
        <w:t>postupně dochází</w:t>
      </w:r>
      <w:r w:rsidR="005A3952">
        <w:t xml:space="preserve"> ke zlepšení známky</w:t>
      </w:r>
      <w:r w:rsidR="00FE35B8">
        <w:t>.</w:t>
      </w:r>
    </w:p>
    <w:sectPr w:rsidR="00766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8363D"/>
    <w:multiLevelType w:val="hybridMultilevel"/>
    <w:tmpl w:val="0E1475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11"/>
    <w:rsid w:val="0001073C"/>
    <w:rsid w:val="00046E3F"/>
    <w:rsid w:val="00065409"/>
    <w:rsid w:val="000874E7"/>
    <w:rsid w:val="000C69A9"/>
    <w:rsid w:val="00111D51"/>
    <w:rsid w:val="0017189D"/>
    <w:rsid w:val="001735EC"/>
    <w:rsid w:val="001C185E"/>
    <w:rsid w:val="001E2C9A"/>
    <w:rsid w:val="00236C92"/>
    <w:rsid w:val="00256D0A"/>
    <w:rsid w:val="00261103"/>
    <w:rsid w:val="002648B7"/>
    <w:rsid w:val="002C329E"/>
    <w:rsid w:val="00372ED5"/>
    <w:rsid w:val="0037641F"/>
    <w:rsid w:val="003854C0"/>
    <w:rsid w:val="003A273E"/>
    <w:rsid w:val="003C728E"/>
    <w:rsid w:val="003D2CFB"/>
    <w:rsid w:val="00475B61"/>
    <w:rsid w:val="004B22A2"/>
    <w:rsid w:val="0051637C"/>
    <w:rsid w:val="00551F0F"/>
    <w:rsid w:val="00585D60"/>
    <w:rsid w:val="005A3952"/>
    <w:rsid w:val="005A5A5D"/>
    <w:rsid w:val="005D60CE"/>
    <w:rsid w:val="005F37A9"/>
    <w:rsid w:val="006307E6"/>
    <w:rsid w:val="006A0EDD"/>
    <w:rsid w:val="006C06F5"/>
    <w:rsid w:val="006E2069"/>
    <w:rsid w:val="00760708"/>
    <w:rsid w:val="007666E3"/>
    <w:rsid w:val="00817F1D"/>
    <w:rsid w:val="008222A8"/>
    <w:rsid w:val="00840611"/>
    <w:rsid w:val="0085645D"/>
    <w:rsid w:val="00877DE2"/>
    <w:rsid w:val="008A7804"/>
    <w:rsid w:val="008C1FB9"/>
    <w:rsid w:val="008D4AC0"/>
    <w:rsid w:val="009117D2"/>
    <w:rsid w:val="00952F1A"/>
    <w:rsid w:val="00964B80"/>
    <w:rsid w:val="00A30A4E"/>
    <w:rsid w:val="00A957DF"/>
    <w:rsid w:val="00AD492C"/>
    <w:rsid w:val="00AF6678"/>
    <w:rsid w:val="00B62461"/>
    <w:rsid w:val="00BB5C63"/>
    <w:rsid w:val="00BC2C09"/>
    <w:rsid w:val="00BE7C55"/>
    <w:rsid w:val="00C008C0"/>
    <w:rsid w:val="00C64448"/>
    <w:rsid w:val="00C94315"/>
    <w:rsid w:val="00CE20BE"/>
    <w:rsid w:val="00D27DE1"/>
    <w:rsid w:val="00D47510"/>
    <w:rsid w:val="00E73155"/>
    <w:rsid w:val="00E737F5"/>
    <w:rsid w:val="00E768CB"/>
    <w:rsid w:val="00E85DD0"/>
    <w:rsid w:val="00E85F64"/>
    <w:rsid w:val="00EA4E1E"/>
    <w:rsid w:val="00F177E9"/>
    <w:rsid w:val="00F44734"/>
    <w:rsid w:val="00F63CB8"/>
    <w:rsid w:val="00F80924"/>
    <w:rsid w:val="00F86A6A"/>
    <w:rsid w:val="00FB08FE"/>
    <w:rsid w:val="00FD1CBC"/>
    <w:rsid w:val="00FE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72F4"/>
  <w15:chartTrackingRefBased/>
  <w15:docId w15:val="{9EF76D15-B248-4A7C-B0A1-C125B553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8806">
      <w:bodyDiv w:val="1"/>
      <w:marLeft w:val="0"/>
      <w:marRight w:val="0"/>
      <w:marTop w:val="0"/>
      <w:marBottom w:val="0"/>
      <w:divBdr>
        <w:top w:val="none" w:sz="0" w:space="0" w:color="auto"/>
        <w:left w:val="none" w:sz="0" w:space="0" w:color="auto"/>
        <w:bottom w:val="none" w:sz="0" w:space="0" w:color="auto"/>
        <w:right w:val="none" w:sz="0" w:space="0" w:color="auto"/>
      </w:divBdr>
    </w:div>
    <w:div w:id="258299133">
      <w:bodyDiv w:val="1"/>
      <w:marLeft w:val="0"/>
      <w:marRight w:val="0"/>
      <w:marTop w:val="0"/>
      <w:marBottom w:val="0"/>
      <w:divBdr>
        <w:top w:val="none" w:sz="0" w:space="0" w:color="auto"/>
        <w:left w:val="none" w:sz="0" w:space="0" w:color="auto"/>
        <w:bottom w:val="none" w:sz="0" w:space="0" w:color="auto"/>
        <w:right w:val="none" w:sz="0" w:space="0" w:color="auto"/>
      </w:divBdr>
    </w:div>
    <w:div w:id="595165007">
      <w:bodyDiv w:val="1"/>
      <w:marLeft w:val="0"/>
      <w:marRight w:val="0"/>
      <w:marTop w:val="0"/>
      <w:marBottom w:val="0"/>
      <w:divBdr>
        <w:top w:val="none" w:sz="0" w:space="0" w:color="auto"/>
        <w:left w:val="none" w:sz="0" w:space="0" w:color="auto"/>
        <w:bottom w:val="none" w:sz="0" w:space="0" w:color="auto"/>
        <w:right w:val="none" w:sz="0" w:space="0" w:color="auto"/>
      </w:divBdr>
    </w:div>
    <w:div w:id="784927329">
      <w:bodyDiv w:val="1"/>
      <w:marLeft w:val="0"/>
      <w:marRight w:val="0"/>
      <w:marTop w:val="0"/>
      <w:marBottom w:val="0"/>
      <w:divBdr>
        <w:top w:val="none" w:sz="0" w:space="0" w:color="auto"/>
        <w:left w:val="none" w:sz="0" w:space="0" w:color="auto"/>
        <w:bottom w:val="none" w:sz="0" w:space="0" w:color="auto"/>
        <w:right w:val="none" w:sz="0" w:space="0" w:color="auto"/>
      </w:divBdr>
    </w:div>
    <w:div w:id="818426983">
      <w:bodyDiv w:val="1"/>
      <w:marLeft w:val="0"/>
      <w:marRight w:val="0"/>
      <w:marTop w:val="0"/>
      <w:marBottom w:val="0"/>
      <w:divBdr>
        <w:top w:val="none" w:sz="0" w:space="0" w:color="auto"/>
        <w:left w:val="none" w:sz="0" w:space="0" w:color="auto"/>
        <w:bottom w:val="none" w:sz="0" w:space="0" w:color="auto"/>
        <w:right w:val="none" w:sz="0" w:space="0" w:color="auto"/>
      </w:divBdr>
    </w:div>
    <w:div w:id="1044334206">
      <w:bodyDiv w:val="1"/>
      <w:marLeft w:val="0"/>
      <w:marRight w:val="0"/>
      <w:marTop w:val="0"/>
      <w:marBottom w:val="0"/>
      <w:divBdr>
        <w:top w:val="none" w:sz="0" w:space="0" w:color="auto"/>
        <w:left w:val="none" w:sz="0" w:space="0" w:color="auto"/>
        <w:bottom w:val="none" w:sz="0" w:space="0" w:color="auto"/>
        <w:right w:val="none" w:sz="0" w:space="0" w:color="auto"/>
      </w:divBdr>
    </w:div>
    <w:div w:id="1332561771">
      <w:bodyDiv w:val="1"/>
      <w:marLeft w:val="0"/>
      <w:marRight w:val="0"/>
      <w:marTop w:val="0"/>
      <w:marBottom w:val="0"/>
      <w:divBdr>
        <w:top w:val="none" w:sz="0" w:space="0" w:color="auto"/>
        <w:left w:val="none" w:sz="0" w:space="0" w:color="auto"/>
        <w:bottom w:val="none" w:sz="0" w:space="0" w:color="auto"/>
        <w:right w:val="none" w:sz="0" w:space="0" w:color="auto"/>
      </w:divBdr>
    </w:div>
    <w:div w:id="21196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K\Documents\Fakulta\Hodnocen&#237;%20v&#253;uky\2018_2019\Kopie%20-%20Po&#269;ty%20hodnocen&#2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13185253956709E-2"/>
          <c:y val="5.3122103756169235E-2"/>
          <c:w val="0.65262189834724493"/>
          <c:h val="0.72813886900501079"/>
        </c:manualLayout>
      </c:layout>
      <c:lineChart>
        <c:grouping val="standard"/>
        <c:varyColors val="0"/>
        <c:ser>
          <c:idx val="0"/>
          <c:order val="0"/>
          <c:tx>
            <c:strRef>
              <c:f>List1!$A$3</c:f>
              <c:strCache>
                <c:ptCount val="1"/>
                <c:pt idx="0">
                  <c:v>Počet připomínek k předmětům</c:v>
                </c:pt>
              </c:strCache>
            </c:strRef>
          </c:tx>
          <c:cat>
            <c:strRef>
              <c:f>List1!$B$1:$I$1</c:f>
              <c:strCache>
                <c:ptCount val="8"/>
                <c:pt idx="0">
                  <c:v>2011/12</c:v>
                </c:pt>
                <c:pt idx="1">
                  <c:v>2012/13</c:v>
                </c:pt>
                <c:pt idx="2">
                  <c:v>2013/14</c:v>
                </c:pt>
                <c:pt idx="3">
                  <c:v>2014/15</c:v>
                </c:pt>
                <c:pt idx="4">
                  <c:v>2015/16</c:v>
                </c:pt>
                <c:pt idx="5">
                  <c:v>2016/17</c:v>
                </c:pt>
                <c:pt idx="6">
                  <c:v>2017/18</c:v>
                </c:pt>
                <c:pt idx="7">
                  <c:v>2018/19</c:v>
                </c:pt>
              </c:strCache>
            </c:strRef>
          </c:cat>
          <c:val>
            <c:numRef>
              <c:f>List1!$B$3:$I$3</c:f>
              <c:numCache>
                <c:formatCode>General</c:formatCode>
                <c:ptCount val="8"/>
                <c:pt idx="0">
                  <c:v>2127</c:v>
                </c:pt>
                <c:pt idx="1">
                  <c:v>2508</c:v>
                </c:pt>
                <c:pt idx="2">
                  <c:v>2970</c:v>
                </c:pt>
                <c:pt idx="3">
                  <c:v>2132</c:v>
                </c:pt>
                <c:pt idx="4">
                  <c:v>2638</c:v>
                </c:pt>
                <c:pt idx="5">
                  <c:v>3025</c:v>
                </c:pt>
                <c:pt idx="6">
                  <c:v>2700</c:v>
                </c:pt>
                <c:pt idx="7">
                  <c:v>3095</c:v>
                </c:pt>
              </c:numCache>
            </c:numRef>
          </c:val>
          <c:smooth val="0"/>
          <c:extLst>
            <c:ext xmlns:c16="http://schemas.microsoft.com/office/drawing/2014/chart" uri="{C3380CC4-5D6E-409C-BE32-E72D297353CC}">
              <c16:uniqueId val="{00000000-FD72-4B6E-843A-7CAD3931D623}"/>
            </c:ext>
          </c:extLst>
        </c:ser>
        <c:ser>
          <c:idx val="1"/>
          <c:order val="1"/>
          <c:tx>
            <c:strRef>
              <c:f>List1!$A$4</c:f>
              <c:strCache>
                <c:ptCount val="1"/>
                <c:pt idx="0">
                  <c:v>Počet hodnotících studentů</c:v>
                </c:pt>
              </c:strCache>
            </c:strRef>
          </c:tx>
          <c:cat>
            <c:strRef>
              <c:f>List1!$B$1:$I$1</c:f>
              <c:strCache>
                <c:ptCount val="8"/>
                <c:pt idx="0">
                  <c:v>2011/12</c:v>
                </c:pt>
                <c:pt idx="1">
                  <c:v>2012/13</c:v>
                </c:pt>
                <c:pt idx="2">
                  <c:v>2013/14</c:v>
                </c:pt>
                <c:pt idx="3">
                  <c:v>2014/15</c:v>
                </c:pt>
                <c:pt idx="4">
                  <c:v>2015/16</c:v>
                </c:pt>
                <c:pt idx="5">
                  <c:v>2016/17</c:v>
                </c:pt>
                <c:pt idx="6">
                  <c:v>2017/18</c:v>
                </c:pt>
                <c:pt idx="7">
                  <c:v>2018/19</c:v>
                </c:pt>
              </c:strCache>
            </c:strRef>
          </c:cat>
          <c:val>
            <c:numRef>
              <c:f>List1!$B$4:$I$4</c:f>
              <c:numCache>
                <c:formatCode>General</c:formatCode>
                <c:ptCount val="8"/>
                <c:pt idx="0">
                  <c:v>823</c:v>
                </c:pt>
                <c:pt idx="1">
                  <c:v>954</c:v>
                </c:pt>
                <c:pt idx="2">
                  <c:v>1032</c:v>
                </c:pt>
                <c:pt idx="3">
                  <c:v>829</c:v>
                </c:pt>
                <c:pt idx="4">
                  <c:v>827</c:v>
                </c:pt>
                <c:pt idx="5">
                  <c:v>889</c:v>
                </c:pt>
                <c:pt idx="6">
                  <c:v>708</c:v>
                </c:pt>
                <c:pt idx="7">
                  <c:v>778</c:v>
                </c:pt>
              </c:numCache>
            </c:numRef>
          </c:val>
          <c:smooth val="0"/>
          <c:extLst>
            <c:ext xmlns:c16="http://schemas.microsoft.com/office/drawing/2014/chart" uri="{C3380CC4-5D6E-409C-BE32-E72D297353CC}">
              <c16:uniqueId val="{00000001-FD72-4B6E-843A-7CAD3931D623}"/>
            </c:ext>
          </c:extLst>
        </c:ser>
        <c:dLbls>
          <c:showLegendKey val="0"/>
          <c:showVal val="0"/>
          <c:showCatName val="0"/>
          <c:showSerName val="0"/>
          <c:showPercent val="0"/>
          <c:showBubbleSize val="0"/>
        </c:dLbls>
        <c:marker val="1"/>
        <c:smooth val="0"/>
        <c:axId val="-1826073168"/>
        <c:axId val="-1826072624"/>
      </c:lineChart>
      <c:catAx>
        <c:axId val="-1826073168"/>
        <c:scaling>
          <c:orientation val="minMax"/>
        </c:scaling>
        <c:delete val="0"/>
        <c:axPos val="b"/>
        <c:numFmt formatCode="General" sourceLinked="0"/>
        <c:majorTickMark val="out"/>
        <c:minorTickMark val="none"/>
        <c:tickLblPos val="nextTo"/>
        <c:crossAx val="-1826072624"/>
        <c:crosses val="autoZero"/>
        <c:auto val="1"/>
        <c:lblAlgn val="ctr"/>
        <c:lblOffset val="100"/>
        <c:noMultiLvlLbl val="0"/>
      </c:catAx>
      <c:valAx>
        <c:axId val="-1826072624"/>
        <c:scaling>
          <c:orientation val="minMax"/>
        </c:scaling>
        <c:delete val="0"/>
        <c:axPos val="l"/>
        <c:majorGridlines/>
        <c:numFmt formatCode="General" sourceLinked="1"/>
        <c:majorTickMark val="out"/>
        <c:minorTickMark val="none"/>
        <c:tickLblPos val="nextTo"/>
        <c:crossAx val="-1826073168"/>
        <c:crosses val="autoZero"/>
        <c:crossBetween val="between"/>
      </c:valAx>
    </c:plotArea>
    <c:legend>
      <c:legendPos val="r"/>
      <c:layout>
        <c:manualLayout>
          <c:xMode val="edge"/>
          <c:yMode val="edge"/>
          <c:x val="0.74173386001944419"/>
          <c:y val="0.35566590061409786"/>
          <c:w val="0.2449179753531921"/>
          <c:h val="0.2886681987718042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00B7-4C5A-4D9C-9113-7B743503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1704</Words>
  <Characters>10059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user</cp:lastModifiedBy>
  <cp:revision>3</cp:revision>
  <dcterms:created xsi:type="dcterms:W3CDTF">2020-02-18T16:37:00Z</dcterms:created>
  <dcterms:modified xsi:type="dcterms:W3CDTF">2020-02-18T17:40:00Z</dcterms:modified>
</cp:coreProperties>
</file>