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E85A5" w14:textId="77777777" w:rsidR="00CD7411" w:rsidRDefault="00CD7411" w:rsidP="00CD741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D5695C"/>
          <w:lang w:eastAsia="cs-CZ"/>
        </w:rPr>
        <w:drawing>
          <wp:anchor distT="0" distB="0" distL="114300" distR="114300" simplePos="0" relativeHeight="251660288" behindDoc="0" locked="0" layoutInCell="1" allowOverlap="1" wp14:anchorId="33D38F1C" wp14:editId="5625F6EB">
            <wp:simplePos x="0" y="0"/>
            <wp:positionH relativeFrom="margin">
              <wp:posOffset>2496820</wp:posOffset>
            </wp:positionH>
            <wp:positionV relativeFrom="paragraph">
              <wp:posOffset>-265430</wp:posOffset>
            </wp:positionV>
            <wp:extent cx="691200" cy="709200"/>
            <wp:effectExtent l="0" t="0" r="0" b="0"/>
            <wp:wrapNone/>
            <wp:docPr id="4" name="obrázek 4" descr="vfn_round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fn_round_blue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70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7AB">
        <w:rPr>
          <w:rFonts w:ascii="Times New Roman" w:hAnsi="Times New Roman"/>
          <w:b/>
          <w:noProof/>
          <w:color w:val="D5695C"/>
          <w:lang w:eastAsia="cs-CZ"/>
        </w:rPr>
        <w:drawing>
          <wp:anchor distT="0" distB="0" distL="114300" distR="114300" simplePos="0" relativeHeight="251659264" behindDoc="0" locked="0" layoutInCell="1" allowOverlap="1" wp14:anchorId="097E75BC" wp14:editId="53775109">
            <wp:simplePos x="0" y="0"/>
            <wp:positionH relativeFrom="margin">
              <wp:posOffset>-276225</wp:posOffset>
            </wp:positionH>
            <wp:positionV relativeFrom="margin">
              <wp:posOffset>-387350</wp:posOffset>
            </wp:positionV>
            <wp:extent cx="295783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fakulty rgb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9CEBF" w14:textId="77777777" w:rsidR="00CD7411" w:rsidRDefault="00CD7411" w:rsidP="00CD7411">
      <w:pPr>
        <w:rPr>
          <w:rFonts w:ascii="Times New Roman" w:hAnsi="Times New Roman" w:cs="Times New Roman"/>
          <w:b/>
          <w:sz w:val="24"/>
          <w:szCs w:val="24"/>
        </w:rPr>
      </w:pPr>
    </w:p>
    <w:p w14:paraId="3C2D845A" w14:textId="77777777" w:rsidR="00CD7411" w:rsidRDefault="00CD7411" w:rsidP="00CD7411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14:paraId="393B3A0D" w14:textId="77777777" w:rsidR="00CD7411" w:rsidRPr="00E306A0" w:rsidRDefault="00CD7411" w:rsidP="00CD7411">
      <w:pPr>
        <w:spacing w:after="100" w:afterAutospacing="1" w:line="240" w:lineRule="auto"/>
        <w:rPr>
          <w:b/>
          <w:bCs/>
        </w:rPr>
      </w:pPr>
      <w:r w:rsidRPr="00E306A0">
        <w:rPr>
          <w:b/>
          <w:bCs/>
        </w:rPr>
        <w:t>TISKOVÁ ZPRÁVA</w:t>
      </w:r>
    </w:p>
    <w:p w14:paraId="302ED7E5" w14:textId="77777777" w:rsidR="00CD7411" w:rsidRPr="00133FEC" w:rsidRDefault="00CD7411" w:rsidP="00CD741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3FEC">
        <w:rPr>
          <w:rFonts w:ascii="Times New Roman" w:hAnsi="Times New Roman" w:cs="Times New Roman"/>
          <w:bCs/>
          <w:sz w:val="24"/>
          <w:szCs w:val="24"/>
        </w:rPr>
        <w:t xml:space="preserve">Praha, </w:t>
      </w:r>
      <w:r w:rsidR="0091728D" w:rsidRPr="00133FEC">
        <w:rPr>
          <w:rFonts w:ascii="Times New Roman" w:hAnsi="Times New Roman" w:cs="Times New Roman"/>
          <w:bCs/>
          <w:sz w:val="24"/>
          <w:szCs w:val="24"/>
        </w:rPr>
        <w:t>18</w:t>
      </w:r>
      <w:r w:rsidRPr="00133FEC">
        <w:rPr>
          <w:rFonts w:ascii="Times New Roman" w:hAnsi="Times New Roman" w:cs="Times New Roman"/>
          <w:bCs/>
          <w:sz w:val="24"/>
          <w:szCs w:val="24"/>
        </w:rPr>
        <w:t>.</w:t>
      </w:r>
      <w:r w:rsidR="0091728D" w:rsidRPr="00133FEC">
        <w:rPr>
          <w:rFonts w:ascii="Times New Roman" w:hAnsi="Times New Roman" w:cs="Times New Roman"/>
          <w:bCs/>
          <w:sz w:val="24"/>
          <w:szCs w:val="24"/>
        </w:rPr>
        <w:t xml:space="preserve"> července </w:t>
      </w:r>
      <w:r w:rsidRPr="00133FEC">
        <w:rPr>
          <w:rFonts w:ascii="Times New Roman" w:hAnsi="Times New Roman" w:cs="Times New Roman"/>
          <w:bCs/>
          <w:sz w:val="24"/>
          <w:szCs w:val="24"/>
        </w:rPr>
        <w:t xml:space="preserve">2017 </w:t>
      </w:r>
    </w:p>
    <w:p w14:paraId="101D377F" w14:textId="39AF710C" w:rsidR="002D66E9" w:rsidRDefault="00F14357" w:rsidP="0006046F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Nový i</w:t>
      </w:r>
      <w:r w:rsidRPr="00F1435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ndex </w:t>
      </w:r>
      <w:r w:rsidR="00895E1A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upřesní prognózu a pomáhá v</w:t>
      </w:r>
      <w:r w:rsidRPr="00F1435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rozhodování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o</w:t>
      </w:r>
      <w:r w:rsidR="002624D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smysluplné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léčbě </w:t>
      </w:r>
      <w:r w:rsidRPr="00F1435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starších pacientů </w:t>
      </w:r>
    </w:p>
    <w:p w14:paraId="4BE6CBAB" w14:textId="691D7AA7" w:rsidR="002C1749" w:rsidRPr="002C1749" w:rsidRDefault="00B30522" w:rsidP="0006046F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L</w:t>
      </w:r>
      <w:r w:rsidR="002C1749" w:rsidRPr="002C1749">
        <w:rPr>
          <w:rFonts w:ascii="Times New Roman" w:hAnsi="Times New Roman" w:cs="Times New Roman"/>
          <w:b/>
        </w:rPr>
        <w:t xml:space="preserve">ékaři </w:t>
      </w:r>
      <w:r w:rsidR="000358DC" w:rsidRPr="002C1749">
        <w:rPr>
          <w:rFonts w:ascii="Times New Roman" w:hAnsi="Times New Roman" w:cs="Times New Roman"/>
          <w:b/>
        </w:rPr>
        <w:t>nad lůžkem pacienta</w:t>
      </w:r>
      <w:r w:rsidR="000358DC">
        <w:rPr>
          <w:rFonts w:ascii="Times New Roman" w:hAnsi="Times New Roman" w:cs="Times New Roman"/>
          <w:b/>
        </w:rPr>
        <w:t xml:space="preserve"> </w:t>
      </w:r>
      <w:r w:rsidR="000358DC" w:rsidRPr="002C1749">
        <w:rPr>
          <w:rFonts w:ascii="Times New Roman" w:hAnsi="Times New Roman" w:cs="Times New Roman"/>
          <w:b/>
        </w:rPr>
        <w:t xml:space="preserve">ve vysokém věku </w:t>
      </w:r>
      <w:r>
        <w:rPr>
          <w:rFonts w:ascii="Times New Roman" w:hAnsi="Times New Roman" w:cs="Times New Roman"/>
          <w:b/>
        </w:rPr>
        <w:t xml:space="preserve">často zvažují, </w:t>
      </w:r>
      <w:r w:rsidR="002C1749" w:rsidRPr="002C1749">
        <w:rPr>
          <w:rFonts w:ascii="Times New Roman" w:hAnsi="Times New Roman" w:cs="Times New Roman"/>
          <w:b/>
        </w:rPr>
        <w:t>kdy operace či nasazení dalších léků pacientovi prospěje</w:t>
      </w:r>
      <w:r>
        <w:rPr>
          <w:rFonts w:ascii="Times New Roman" w:hAnsi="Times New Roman" w:cs="Times New Roman"/>
          <w:b/>
        </w:rPr>
        <w:t>,</w:t>
      </w:r>
      <w:r w:rsidR="002C1749" w:rsidRPr="002C1749">
        <w:rPr>
          <w:rFonts w:ascii="Times New Roman" w:hAnsi="Times New Roman" w:cs="Times New Roman"/>
          <w:b/>
        </w:rPr>
        <w:t xml:space="preserve"> kd</w:t>
      </w:r>
      <w:r>
        <w:rPr>
          <w:rFonts w:ascii="Times New Roman" w:hAnsi="Times New Roman" w:cs="Times New Roman"/>
          <w:b/>
        </w:rPr>
        <w:t xml:space="preserve">y jeho stav už neovlivní, </w:t>
      </w:r>
      <w:r w:rsidR="002C1749" w:rsidRPr="002C1749">
        <w:rPr>
          <w:rFonts w:ascii="Times New Roman" w:hAnsi="Times New Roman" w:cs="Times New Roman"/>
          <w:b/>
        </w:rPr>
        <w:t>nebo dokonce zhorší</w:t>
      </w:r>
      <w:r w:rsidR="006C502E">
        <w:rPr>
          <w:rFonts w:ascii="Times New Roman" w:hAnsi="Times New Roman" w:cs="Times New Roman"/>
          <w:b/>
        </w:rPr>
        <w:t>.</w:t>
      </w:r>
      <w:r w:rsidR="002C1749" w:rsidRPr="002C1749">
        <w:rPr>
          <w:rFonts w:ascii="Times New Roman" w:hAnsi="Times New Roman" w:cs="Times New Roman"/>
          <w:b/>
        </w:rPr>
        <w:t xml:space="preserve"> Geriatři nyní vyvinuli ukazatel, který dokáže předvídat dopady medicínských rozhodnutí. </w:t>
      </w:r>
    </w:p>
    <w:p w14:paraId="7020325D" w14:textId="78A529CE" w:rsidR="0006046F" w:rsidRPr="002D66E9" w:rsidRDefault="002D66E9" w:rsidP="0006046F">
      <w:pPr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0B68">
        <w:rPr>
          <w:rFonts w:ascii="Times New Roman" w:hAnsi="Times New Roman" w:cs="Times New Roman"/>
        </w:rPr>
        <w:t>zhledem ke stárnutí populace lékaři stále častěji</w:t>
      </w:r>
      <w:r w:rsidR="00962952">
        <w:rPr>
          <w:rFonts w:ascii="Times New Roman" w:hAnsi="Times New Roman" w:cs="Times New Roman"/>
        </w:rPr>
        <w:t xml:space="preserve"> pečují o </w:t>
      </w:r>
      <w:r w:rsidR="00960B68">
        <w:rPr>
          <w:rFonts w:ascii="Times New Roman" w:hAnsi="Times New Roman" w:cs="Times New Roman"/>
        </w:rPr>
        <w:t>starší pacienty</w:t>
      </w:r>
      <w:r w:rsidR="009A0094">
        <w:rPr>
          <w:rFonts w:ascii="Times New Roman" w:hAnsi="Times New Roman" w:cs="Times New Roman"/>
        </w:rPr>
        <w:t xml:space="preserve">, kteří mají současně několik </w:t>
      </w:r>
      <w:r w:rsidR="00962952">
        <w:rPr>
          <w:rFonts w:ascii="Times New Roman" w:hAnsi="Times New Roman" w:cs="Times New Roman"/>
        </w:rPr>
        <w:t xml:space="preserve">interních </w:t>
      </w:r>
      <w:r w:rsidR="009A0094">
        <w:rPr>
          <w:rFonts w:ascii="Times New Roman" w:hAnsi="Times New Roman" w:cs="Times New Roman"/>
        </w:rPr>
        <w:t xml:space="preserve">onemocnění, </w:t>
      </w:r>
      <w:r w:rsidR="002C1749">
        <w:rPr>
          <w:rFonts w:ascii="Times New Roman" w:hAnsi="Times New Roman" w:cs="Times New Roman"/>
        </w:rPr>
        <w:t xml:space="preserve">zároveň </w:t>
      </w:r>
      <w:r w:rsidR="009A0094">
        <w:rPr>
          <w:rFonts w:ascii="Times New Roman" w:hAnsi="Times New Roman" w:cs="Times New Roman"/>
        </w:rPr>
        <w:t>trpí stařeckou křehkostí</w:t>
      </w:r>
      <w:r w:rsidR="0006046F">
        <w:rPr>
          <w:rFonts w:ascii="Times New Roman" w:hAnsi="Times New Roman" w:cs="Times New Roman"/>
        </w:rPr>
        <w:t xml:space="preserve"> či demencí</w:t>
      </w:r>
      <w:r w:rsidR="002C1749">
        <w:rPr>
          <w:rFonts w:ascii="Times New Roman" w:hAnsi="Times New Roman" w:cs="Times New Roman"/>
        </w:rPr>
        <w:t xml:space="preserve"> a</w:t>
      </w:r>
      <w:r w:rsidR="00203F2C">
        <w:rPr>
          <w:rFonts w:ascii="Times New Roman" w:hAnsi="Times New Roman" w:cs="Times New Roman"/>
        </w:rPr>
        <w:t xml:space="preserve"> dostávají řadu léků. </w:t>
      </w:r>
      <w:r w:rsidR="009A0094" w:rsidRPr="0006046F">
        <w:rPr>
          <w:rFonts w:ascii="Times New Roman" w:hAnsi="Times New Roman" w:cs="Times New Roman"/>
        </w:rPr>
        <w:t xml:space="preserve">Stanovení správného léčebného postupu </w:t>
      </w:r>
      <w:r w:rsidR="00203F2C" w:rsidRPr="0006046F">
        <w:rPr>
          <w:rFonts w:ascii="Times New Roman" w:hAnsi="Times New Roman" w:cs="Times New Roman"/>
        </w:rPr>
        <w:t>bývá v</w:t>
      </w:r>
      <w:r w:rsidR="0006046F">
        <w:rPr>
          <w:rFonts w:ascii="Times New Roman" w:hAnsi="Times New Roman" w:cs="Times New Roman"/>
        </w:rPr>
        <w:t xml:space="preserve"> takové situaci </w:t>
      </w:r>
      <w:r w:rsidR="00203F2C" w:rsidRPr="0006046F">
        <w:rPr>
          <w:rFonts w:ascii="Times New Roman" w:hAnsi="Times New Roman" w:cs="Times New Roman"/>
        </w:rPr>
        <w:t xml:space="preserve">obtížné. </w:t>
      </w:r>
      <w:r w:rsidR="00654871" w:rsidRPr="0006046F">
        <w:rPr>
          <w:rFonts w:ascii="Times New Roman" w:hAnsi="Times New Roman" w:cs="Times New Roman"/>
        </w:rPr>
        <w:t xml:space="preserve">Zdravotníci </w:t>
      </w:r>
      <w:r w:rsidR="009A0094" w:rsidRPr="0006046F">
        <w:rPr>
          <w:rFonts w:ascii="Times New Roman" w:hAnsi="Times New Roman" w:cs="Times New Roman"/>
        </w:rPr>
        <w:t>jsou často postaveni před otázku, do kdy</w:t>
      </w:r>
      <w:r w:rsidR="005235D0" w:rsidRPr="0006046F">
        <w:rPr>
          <w:rFonts w:ascii="Times New Roman" w:hAnsi="Times New Roman" w:cs="Times New Roman"/>
        </w:rPr>
        <w:t>,</w:t>
      </w:r>
      <w:r w:rsidR="009A0094" w:rsidRPr="0006046F">
        <w:rPr>
          <w:rFonts w:ascii="Times New Roman" w:hAnsi="Times New Roman" w:cs="Times New Roman"/>
        </w:rPr>
        <w:t xml:space="preserve"> a zda vůbec</w:t>
      </w:r>
      <w:r w:rsidR="005235D0" w:rsidRPr="0006046F">
        <w:rPr>
          <w:rFonts w:ascii="Times New Roman" w:hAnsi="Times New Roman" w:cs="Times New Roman"/>
        </w:rPr>
        <w:t>,</w:t>
      </w:r>
      <w:r w:rsidR="009A0094" w:rsidRPr="0006046F">
        <w:rPr>
          <w:rFonts w:ascii="Times New Roman" w:hAnsi="Times New Roman" w:cs="Times New Roman"/>
        </w:rPr>
        <w:t xml:space="preserve"> konkrétní léčbu</w:t>
      </w:r>
      <w:r w:rsidR="0006046F" w:rsidRPr="0006046F">
        <w:rPr>
          <w:rFonts w:ascii="Times New Roman" w:hAnsi="Times New Roman" w:cs="Times New Roman"/>
        </w:rPr>
        <w:t xml:space="preserve"> poskytovat, zda pomůže nebo pacienta jen zatíží. Zároveň musí lékaři ctít etický rozměr péče a nesklouznout v rozhodování k</w:t>
      </w:r>
      <w:r w:rsidR="0006046F">
        <w:rPr>
          <w:rFonts w:ascii="Times New Roman" w:hAnsi="Times New Roman" w:cs="Times New Roman"/>
        </w:rPr>
        <w:t> </w:t>
      </w:r>
      <w:r w:rsidR="0006046F" w:rsidRPr="0006046F">
        <w:rPr>
          <w:rFonts w:ascii="Times New Roman" w:hAnsi="Times New Roman" w:cs="Times New Roman"/>
        </w:rPr>
        <w:t>věkov</w:t>
      </w:r>
      <w:r w:rsidR="0006046F">
        <w:rPr>
          <w:rFonts w:ascii="Times New Roman" w:hAnsi="Times New Roman" w:cs="Times New Roman"/>
        </w:rPr>
        <w:t xml:space="preserve">é </w:t>
      </w:r>
      <w:r w:rsidR="0006046F" w:rsidRPr="0006046F">
        <w:rPr>
          <w:rFonts w:ascii="Times New Roman" w:hAnsi="Times New Roman" w:cs="Times New Roman"/>
        </w:rPr>
        <w:t>diskriminaci</w:t>
      </w:r>
      <w:r w:rsidR="0006046F">
        <w:rPr>
          <w:rFonts w:ascii="Times New Roman" w:hAnsi="Times New Roman" w:cs="Times New Roman"/>
        </w:rPr>
        <w:t xml:space="preserve"> (ageismu)</w:t>
      </w:r>
      <w:r w:rsidR="0006046F" w:rsidRPr="0006046F">
        <w:rPr>
          <w:rFonts w:ascii="Times New Roman" w:hAnsi="Times New Roman" w:cs="Times New Roman"/>
        </w:rPr>
        <w:t xml:space="preserve">. </w:t>
      </w:r>
      <w:r w:rsidR="002C1749">
        <w:rPr>
          <w:rFonts w:ascii="Times New Roman" w:hAnsi="Times New Roman" w:cs="Times New Roman"/>
        </w:rPr>
        <w:t xml:space="preserve">Geriatři </w:t>
      </w:r>
      <w:r w:rsidR="0006046F">
        <w:rPr>
          <w:rFonts w:ascii="Times New Roman" w:hAnsi="Times New Roman" w:cs="Times New Roman"/>
        </w:rPr>
        <w:t xml:space="preserve">zdůrazňují, že u starších pacientů nelze </w:t>
      </w:r>
      <w:r w:rsidR="00D0746C">
        <w:rPr>
          <w:rFonts w:ascii="Times New Roman" w:hAnsi="Times New Roman" w:cs="Times New Roman"/>
        </w:rPr>
        <w:t xml:space="preserve">uplatňovat </w:t>
      </w:r>
      <w:r w:rsidR="0006046F">
        <w:rPr>
          <w:rFonts w:ascii="Times New Roman" w:hAnsi="Times New Roman" w:cs="Times New Roman"/>
        </w:rPr>
        <w:t>medicínské postupy</w:t>
      </w:r>
      <w:r w:rsidR="0006046F" w:rsidRPr="00F83D86">
        <w:rPr>
          <w:rFonts w:ascii="Times New Roman" w:hAnsi="Times New Roman" w:cs="Times New Roman"/>
        </w:rPr>
        <w:t xml:space="preserve"> </w:t>
      </w:r>
      <w:r w:rsidR="00D0746C">
        <w:rPr>
          <w:rFonts w:ascii="Times New Roman" w:hAnsi="Times New Roman" w:cs="Times New Roman"/>
        </w:rPr>
        <w:t xml:space="preserve">ověřené pouze na mladších osobách </w:t>
      </w:r>
      <w:r w:rsidR="00B93885">
        <w:rPr>
          <w:rFonts w:ascii="Times New Roman" w:hAnsi="Times New Roman" w:cs="Times New Roman"/>
        </w:rPr>
        <w:t xml:space="preserve">a </w:t>
      </w:r>
      <w:r w:rsidR="003967FC">
        <w:rPr>
          <w:rFonts w:ascii="Times New Roman" w:hAnsi="Times New Roman" w:cs="Times New Roman"/>
        </w:rPr>
        <w:t>nelze léčit</w:t>
      </w:r>
      <w:r w:rsidR="00B93885">
        <w:rPr>
          <w:rFonts w:ascii="Times New Roman" w:hAnsi="Times New Roman" w:cs="Times New Roman"/>
        </w:rPr>
        <w:t xml:space="preserve"> p</w:t>
      </w:r>
      <w:r w:rsidR="0006046F">
        <w:rPr>
          <w:rFonts w:ascii="Times New Roman" w:hAnsi="Times New Roman" w:cs="Times New Roman"/>
        </w:rPr>
        <w:t xml:space="preserve">ouze </w:t>
      </w:r>
      <w:r w:rsidR="003967FC">
        <w:rPr>
          <w:rFonts w:ascii="Times New Roman" w:hAnsi="Times New Roman" w:cs="Times New Roman"/>
        </w:rPr>
        <w:t>jednu</w:t>
      </w:r>
      <w:r w:rsidR="0006046F">
        <w:rPr>
          <w:rFonts w:ascii="Times New Roman" w:hAnsi="Times New Roman" w:cs="Times New Roman"/>
        </w:rPr>
        <w:t xml:space="preserve"> konkrétní chorobu </w:t>
      </w:r>
      <w:r w:rsidR="00B93885">
        <w:rPr>
          <w:rFonts w:ascii="Times New Roman" w:hAnsi="Times New Roman" w:cs="Times New Roman"/>
        </w:rPr>
        <w:t xml:space="preserve">bez </w:t>
      </w:r>
      <w:r w:rsidR="0006046F">
        <w:rPr>
          <w:rFonts w:ascii="Times New Roman" w:hAnsi="Times New Roman" w:cs="Times New Roman"/>
        </w:rPr>
        <w:t>přihl</w:t>
      </w:r>
      <w:r w:rsidR="00B93885">
        <w:rPr>
          <w:rFonts w:ascii="Times New Roman" w:hAnsi="Times New Roman" w:cs="Times New Roman"/>
        </w:rPr>
        <w:t xml:space="preserve">édnutí </w:t>
      </w:r>
      <w:r w:rsidR="0006046F">
        <w:rPr>
          <w:rFonts w:ascii="Times New Roman" w:hAnsi="Times New Roman" w:cs="Times New Roman"/>
        </w:rPr>
        <w:t xml:space="preserve">k dalším onemocněním a </w:t>
      </w:r>
      <w:r w:rsidR="003967FC">
        <w:rPr>
          <w:rFonts w:ascii="Times New Roman" w:hAnsi="Times New Roman" w:cs="Times New Roman"/>
        </w:rPr>
        <w:t>fyzickým nebo psychickým omezením</w:t>
      </w:r>
      <w:r w:rsidR="002C1749">
        <w:rPr>
          <w:rFonts w:ascii="Times New Roman" w:hAnsi="Times New Roman" w:cs="Times New Roman"/>
        </w:rPr>
        <w:t xml:space="preserve">. </w:t>
      </w:r>
      <w:r w:rsidR="0006046F">
        <w:rPr>
          <w:rFonts w:ascii="Times New Roman" w:hAnsi="Times New Roman" w:cs="Times New Roman"/>
        </w:rPr>
        <w:t>Senioři navíc nebývají příliš zařazováni do klinických studií, často proto není zřejmé, zda při kombinaci různých nemocí daná metoda či lék v</w:t>
      </w:r>
      <w:r w:rsidR="00D0746C">
        <w:rPr>
          <w:rFonts w:ascii="Times New Roman" w:hAnsi="Times New Roman" w:cs="Times New Roman"/>
        </w:rPr>
        <w:t> posledních letech</w:t>
      </w:r>
      <w:r w:rsidR="0006046F">
        <w:rPr>
          <w:rFonts w:ascii="Times New Roman" w:hAnsi="Times New Roman" w:cs="Times New Roman"/>
        </w:rPr>
        <w:t xml:space="preserve"> života pacientovi vůbec prospívá. </w:t>
      </w:r>
    </w:p>
    <w:p w14:paraId="1E39126C" w14:textId="18FF63E6" w:rsidR="006A1623" w:rsidRDefault="00962952" w:rsidP="006A1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Odborníci z Geriatrické kliniky 1. lékařské fakulty Univerzity Karlovy</w:t>
      </w:r>
      <w:r w:rsidR="00F83D86">
        <w:rPr>
          <w:rFonts w:ascii="Times New Roman" w:hAnsi="Times New Roman" w:cs="Times New Roman"/>
        </w:rPr>
        <w:t xml:space="preserve"> (1. LF UK)</w:t>
      </w:r>
      <w:r>
        <w:rPr>
          <w:rFonts w:ascii="Times New Roman" w:hAnsi="Times New Roman" w:cs="Times New Roman"/>
        </w:rPr>
        <w:t xml:space="preserve"> a Všeobecné fakultní nemocnice</w:t>
      </w:r>
      <w:r w:rsidR="00F83D86">
        <w:rPr>
          <w:rFonts w:ascii="Times New Roman" w:hAnsi="Times New Roman" w:cs="Times New Roman"/>
        </w:rPr>
        <w:t xml:space="preserve"> (VFN)</w:t>
      </w:r>
      <w:r>
        <w:rPr>
          <w:rFonts w:ascii="Times New Roman" w:hAnsi="Times New Roman" w:cs="Times New Roman"/>
        </w:rPr>
        <w:t xml:space="preserve"> v Praze mají nyní pro zodpovězení řady otázek </w:t>
      </w:r>
      <w:r w:rsidR="006B39AB">
        <w:rPr>
          <w:rFonts w:ascii="Times New Roman" w:hAnsi="Times New Roman" w:cs="Times New Roman"/>
        </w:rPr>
        <w:t xml:space="preserve">spojených s nasazením či ustoupením od léčby účinný </w:t>
      </w:r>
      <w:r>
        <w:rPr>
          <w:rFonts w:ascii="Times New Roman" w:hAnsi="Times New Roman" w:cs="Times New Roman"/>
        </w:rPr>
        <w:t xml:space="preserve">nástroj. </w:t>
      </w:r>
      <w:r w:rsidR="003036C7">
        <w:rPr>
          <w:rFonts w:ascii="Times New Roman" w:hAnsi="Times New Roman" w:cs="Times New Roman"/>
        </w:rPr>
        <w:t>Zapojili se do významného</w:t>
      </w:r>
      <w:r w:rsidR="00D37521">
        <w:rPr>
          <w:rFonts w:ascii="Times New Roman" w:hAnsi="Times New Roman" w:cs="Times New Roman"/>
        </w:rPr>
        <w:t xml:space="preserve"> g</w:t>
      </w:r>
      <w:r w:rsidR="003036C7">
        <w:rPr>
          <w:rFonts w:ascii="Times New Roman" w:hAnsi="Times New Roman" w:cs="Times New Roman"/>
        </w:rPr>
        <w:t>eriatrického</w:t>
      </w:r>
      <w:r w:rsidR="00EF1180">
        <w:rPr>
          <w:rFonts w:ascii="Times New Roman" w:hAnsi="Times New Roman" w:cs="Times New Roman"/>
        </w:rPr>
        <w:t xml:space="preserve"> výzkum</w:t>
      </w:r>
      <w:r w:rsidR="003036C7">
        <w:rPr>
          <w:rFonts w:ascii="Times New Roman" w:hAnsi="Times New Roman" w:cs="Times New Roman"/>
        </w:rPr>
        <w:t>u</w:t>
      </w:r>
      <w:r w:rsidR="00EF1180">
        <w:rPr>
          <w:rFonts w:ascii="Times New Roman" w:hAnsi="Times New Roman" w:cs="Times New Roman"/>
        </w:rPr>
        <w:t xml:space="preserve"> v rámci evropského projektu</w:t>
      </w:r>
      <w:r w:rsidR="00D37521">
        <w:rPr>
          <w:rFonts w:ascii="Times New Roman" w:hAnsi="Times New Roman" w:cs="Times New Roman"/>
        </w:rPr>
        <w:t xml:space="preserve"> </w:t>
      </w:r>
      <w:r w:rsidR="00D37521" w:rsidRPr="00D37521">
        <w:rPr>
          <w:rFonts w:ascii="Times New Roman" w:hAnsi="Times New Roman" w:cs="Times New Roman"/>
          <w:i/>
        </w:rPr>
        <w:t>MPI</w:t>
      </w:r>
      <w:r w:rsidR="003036C7">
        <w:rPr>
          <w:rFonts w:ascii="Times New Roman" w:hAnsi="Times New Roman" w:cs="Times New Roman"/>
          <w:i/>
        </w:rPr>
        <w:t xml:space="preserve">-Age, </w:t>
      </w:r>
      <w:r w:rsidR="003036C7" w:rsidRPr="003036C7">
        <w:rPr>
          <w:rFonts w:ascii="Times New Roman" w:hAnsi="Times New Roman" w:cs="Times New Roman"/>
        </w:rPr>
        <w:t>který</w:t>
      </w:r>
      <w:r w:rsidR="003036C7">
        <w:rPr>
          <w:rFonts w:ascii="Times New Roman" w:hAnsi="Times New Roman" w:cs="Times New Roman"/>
          <w:i/>
        </w:rPr>
        <w:t xml:space="preserve"> </w:t>
      </w:r>
      <w:r w:rsidR="00D37521">
        <w:rPr>
          <w:rFonts w:ascii="Times New Roman" w:hAnsi="Times New Roman" w:cs="Times New Roman"/>
        </w:rPr>
        <w:t xml:space="preserve">po letech ověřování potvrdil, že </w:t>
      </w:r>
      <w:r w:rsidR="00895E1A">
        <w:rPr>
          <w:rFonts w:ascii="Times New Roman" w:hAnsi="Times New Roman" w:cs="Times New Roman"/>
        </w:rPr>
        <w:t>M</w:t>
      </w:r>
      <w:r w:rsidR="00D37521" w:rsidRPr="00062D38">
        <w:rPr>
          <w:rFonts w:ascii="Times New Roman" w:hAnsi="Times New Roman" w:cs="Times New Roman"/>
          <w:i/>
        </w:rPr>
        <w:t xml:space="preserve">ultidimenzionální prognostický index </w:t>
      </w:r>
      <w:r w:rsidR="00D37521">
        <w:rPr>
          <w:rFonts w:ascii="Times New Roman" w:hAnsi="Times New Roman" w:cs="Times New Roman"/>
        </w:rPr>
        <w:t>(MPI) dokáže</w:t>
      </w:r>
      <w:r w:rsidR="00F174E4">
        <w:rPr>
          <w:rFonts w:ascii="Times New Roman" w:hAnsi="Times New Roman" w:cs="Times New Roman"/>
        </w:rPr>
        <w:t xml:space="preserve"> s vysokou přesností určit</w:t>
      </w:r>
      <w:r w:rsidR="00D0746C">
        <w:rPr>
          <w:rFonts w:ascii="Times New Roman" w:hAnsi="Times New Roman" w:cs="Times New Roman"/>
        </w:rPr>
        <w:t xml:space="preserve"> prognózu pacienta</w:t>
      </w:r>
      <w:r w:rsidR="00895E1A">
        <w:rPr>
          <w:rFonts w:ascii="Times New Roman" w:hAnsi="Times New Roman" w:cs="Times New Roman"/>
        </w:rPr>
        <w:t xml:space="preserve"> (přežití)</w:t>
      </w:r>
      <w:r w:rsidR="00D0746C">
        <w:rPr>
          <w:rFonts w:ascii="Times New Roman" w:hAnsi="Times New Roman" w:cs="Times New Roman"/>
        </w:rPr>
        <w:t xml:space="preserve"> a také</w:t>
      </w:r>
      <w:r w:rsidR="00F174E4">
        <w:rPr>
          <w:rFonts w:ascii="Times New Roman" w:hAnsi="Times New Roman" w:cs="Times New Roman"/>
        </w:rPr>
        <w:t>, zda zamýšlený léčebný postup</w:t>
      </w:r>
      <w:r w:rsidR="0006046F">
        <w:rPr>
          <w:rFonts w:ascii="Times New Roman" w:hAnsi="Times New Roman" w:cs="Times New Roman"/>
        </w:rPr>
        <w:t xml:space="preserve"> </w:t>
      </w:r>
      <w:r w:rsidR="00D0746C">
        <w:rPr>
          <w:rFonts w:ascii="Times New Roman" w:hAnsi="Times New Roman" w:cs="Times New Roman"/>
        </w:rPr>
        <w:t>bude účelný</w:t>
      </w:r>
      <w:r w:rsidR="0006046F">
        <w:rPr>
          <w:rFonts w:ascii="Times New Roman" w:hAnsi="Times New Roman" w:cs="Times New Roman"/>
        </w:rPr>
        <w:t xml:space="preserve">, </w:t>
      </w:r>
      <w:r w:rsidR="00F174E4">
        <w:rPr>
          <w:rFonts w:ascii="Times New Roman" w:hAnsi="Times New Roman" w:cs="Times New Roman"/>
        </w:rPr>
        <w:t>nebo</w:t>
      </w:r>
      <w:r w:rsidR="00D37521">
        <w:rPr>
          <w:rFonts w:ascii="Times New Roman" w:hAnsi="Times New Roman" w:cs="Times New Roman"/>
        </w:rPr>
        <w:t xml:space="preserve"> </w:t>
      </w:r>
      <w:r w:rsidR="006B39AB">
        <w:rPr>
          <w:rFonts w:ascii="Times New Roman" w:hAnsi="Times New Roman" w:cs="Times New Roman"/>
        </w:rPr>
        <w:t xml:space="preserve">léčba naopak </w:t>
      </w:r>
      <w:r w:rsidR="00D0746C">
        <w:rPr>
          <w:rFonts w:ascii="Times New Roman" w:hAnsi="Times New Roman" w:cs="Times New Roman"/>
        </w:rPr>
        <w:t>nepřinese očekávaný efekt</w:t>
      </w:r>
      <w:r w:rsidR="00F174E4">
        <w:rPr>
          <w:rFonts w:ascii="Times New Roman" w:hAnsi="Times New Roman" w:cs="Times New Roman"/>
        </w:rPr>
        <w:t xml:space="preserve"> </w:t>
      </w:r>
      <w:r w:rsidR="00F174E4" w:rsidRPr="00F174E4">
        <w:rPr>
          <w:rFonts w:ascii="Times New Roman" w:hAnsi="Times New Roman" w:cs="Times New Roman"/>
        </w:rPr>
        <w:t>a</w:t>
      </w:r>
      <w:r w:rsidR="00F174E4" w:rsidRPr="00D37521">
        <w:rPr>
          <w:rFonts w:ascii="Times New Roman" w:hAnsi="Times New Roman" w:cs="Times New Roman"/>
        </w:rPr>
        <w:t xml:space="preserve"> dokonce pacienta zbytečně zatěžuje</w:t>
      </w:r>
      <w:r w:rsidR="00F174E4">
        <w:rPr>
          <w:rFonts w:ascii="Times New Roman" w:hAnsi="Times New Roman" w:cs="Times New Roman"/>
        </w:rPr>
        <w:t>.</w:t>
      </w:r>
      <w:r w:rsidR="006A1623" w:rsidRPr="006A1623">
        <w:rPr>
          <w:rFonts w:ascii="Times New Roman" w:hAnsi="Times New Roman" w:cs="Times New Roman"/>
        </w:rPr>
        <w:t xml:space="preserve"> </w:t>
      </w:r>
    </w:p>
    <w:p w14:paraId="0E847DCC" w14:textId="3B9150D8" w:rsidR="00795397" w:rsidRDefault="000F7011" w:rsidP="00795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„Geriatrická klinika</w:t>
      </w:r>
      <w:r w:rsidR="009B688C">
        <w:rPr>
          <w:rFonts w:ascii="Times New Roman" w:hAnsi="Times New Roman" w:cs="Times New Roman"/>
        </w:rPr>
        <w:t xml:space="preserve"> </w:t>
      </w:r>
      <w:r w:rsidR="005C7D93">
        <w:rPr>
          <w:rFonts w:ascii="Times New Roman" w:hAnsi="Times New Roman" w:cs="Times New Roman"/>
        </w:rPr>
        <w:t>1. LF UK a VFN</w:t>
      </w:r>
      <w:r>
        <w:rPr>
          <w:rFonts w:ascii="Times New Roman" w:hAnsi="Times New Roman" w:cs="Times New Roman"/>
        </w:rPr>
        <w:t xml:space="preserve"> </w:t>
      </w:r>
      <w:r w:rsidR="003967FC">
        <w:rPr>
          <w:rFonts w:ascii="Times New Roman" w:hAnsi="Times New Roman" w:cs="Times New Roman"/>
        </w:rPr>
        <w:t>je velmi aktivní v mezinárodním výzkumu a</w:t>
      </w:r>
      <w:r w:rsidR="00192359">
        <w:rPr>
          <w:rFonts w:ascii="Times New Roman" w:hAnsi="Times New Roman" w:cs="Times New Roman"/>
        </w:rPr>
        <w:t xml:space="preserve"> </w:t>
      </w:r>
      <w:r w:rsidR="0006409B">
        <w:rPr>
          <w:rFonts w:ascii="Times New Roman" w:hAnsi="Times New Roman" w:cs="Times New Roman"/>
        </w:rPr>
        <w:t xml:space="preserve">za posledních patnáct let </w:t>
      </w:r>
      <w:r w:rsidR="009D2AB5">
        <w:rPr>
          <w:rFonts w:ascii="Times New Roman" w:hAnsi="Times New Roman" w:cs="Times New Roman"/>
        </w:rPr>
        <w:t xml:space="preserve">získala </w:t>
      </w:r>
      <w:r w:rsidR="00F4208E">
        <w:rPr>
          <w:rFonts w:ascii="Times New Roman" w:hAnsi="Times New Roman" w:cs="Times New Roman"/>
        </w:rPr>
        <w:t>vědeck</w:t>
      </w:r>
      <w:r w:rsidR="003967FC">
        <w:rPr>
          <w:rFonts w:ascii="Times New Roman" w:hAnsi="Times New Roman" w:cs="Times New Roman"/>
        </w:rPr>
        <w:t xml:space="preserve">é </w:t>
      </w:r>
      <w:r w:rsidR="00F4208E">
        <w:rPr>
          <w:rFonts w:ascii="Times New Roman" w:hAnsi="Times New Roman" w:cs="Times New Roman"/>
        </w:rPr>
        <w:t xml:space="preserve">projekty v každém </w:t>
      </w:r>
      <w:r w:rsidR="009D2AB5">
        <w:rPr>
          <w:rFonts w:ascii="Times New Roman" w:hAnsi="Times New Roman" w:cs="Times New Roman"/>
        </w:rPr>
        <w:t xml:space="preserve">vyhlášeném </w:t>
      </w:r>
      <w:r w:rsidR="00F4208E">
        <w:rPr>
          <w:rFonts w:ascii="Times New Roman" w:hAnsi="Times New Roman" w:cs="Times New Roman"/>
        </w:rPr>
        <w:t>rámcovém programu</w:t>
      </w:r>
      <w:r w:rsidR="00BA023E">
        <w:rPr>
          <w:rFonts w:ascii="Times New Roman" w:hAnsi="Times New Roman" w:cs="Times New Roman"/>
        </w:rPr>
        <w:t xml:space="preserve"> EU</w:t>
      </w:r>
      <w:r w:rsidR="00F4208E">
        <w:rPr>
          <w:rFonts w:ascii="Times New Roman" w:hAnsi="Times New Roman" w:cs="Times New Roman"/>
        </w:rPr>
        <w:t>. Projekt MPI-Age nepřináší převratné technologie či nov</w:t>
      </w:r>
      <w:r w:rsidR="00BA023E">
        <w:rPr>
          <w:rFonts w:ascii="Times New Roman" w:hAnsi="Times New Roman" w:cs="Times New Roman"/>
        </w:rPr>
        <w:t>ý</w:t>
      </w:r>
      <w:r w:rsidR="00F4208E">
        <w:rPr>
          <w:rFonts w:ascii="Times New Roman" w:hAnsi="Times New Roman" w:cs="Times New Roman"/>
        </w:rPr>
        <w:t xml:space="preserve"> lék, </w:t>
      </w:r>
      <w:r>
        <w:rPr>
          <w:rFonts w:ascii="Times New Roman" w:hAnsi="Times New Roman" w:cs="Times New Roman"/>
        </w:rPr>
        <w:t>ale</w:t>
      </w:r>
      <w:r w:rsidR="00BA023E">
        <w:rPr>
          <w:rFonts w:ascii="Times New Roman" w:hAnsi="Times New Roman" w:cs="Times New Roman"/>
        </w:rPr>
        <w:t xml:space="preserve"> přesto</w:t>
      </w:r>
      <w:r>
        <w:rPr>
          <w:rFonts w:ascii="Times New Roman" w:hAnsi="Times New Roman" w:cs="Times New Roman"/>
        </w:rPr>
        <w:t xml:space="preserve"> je velmi významný</w:t>
      </w:r>
      <w:r w:rsidR="00BA023E">
        <w:rPr>
          <w:rFonts w:ascii="Times New Roman" w:hAnsi="Times New Roman" w:cs="Times New Roman"/>
        </w:rPr>
        <w:t xml:space="preserve"> pro klinickou praxi. </w:t>
      </w:r>
      <w:r w:rsidR="005A2965">
        <w:rPr>
          <w:rFonts w:ascii="Times New Roman" w:hAnsi="Times New Roman" w:cs="Times New Roman"/>
        </w:rPr>
        <w:t>Index MPI d</w:t>
      </w:r>
      <w:r>
        <w:rPr>
          <w:rFonts w:ascii="Times New Roman" w:hAnsi="Times New Roman" w:cs="Times New Roman"/>
        </w:rPr>
        <w:t>okáže</w:t>
      </w:r>
      <w:r w:rsidR="00BA023E">
        <w:rPr>
          <w:rFonts w:ascii="Times New Roman" w:hAnsi="Times New Roman" w:cs="Times New Roman"/>
        </w:rPr>
        <w:t xml:space="preserve"> totiž</w:t>
      </w:r>
      <w:r>
        <w:rPr>
          <w:rFonts w:ascii="Times New Roman" w:hAnsi="Times New Roman" w:cs="Times New Roman"/>
        </w:rPr>
        <w:t xml:space="preserve"> přesněji </w:t>
      </w:r>
      <w:r w:rsidR="00192359">
        <w:rPr>
          <w:rFonts w:ascii="Times New Roman" w:hAnsi="Times New Roman" w:cs="Times New Roman"/>
        </w:rPr>
        <w:t>identifikovat ty</w:t>
      </w:r>
      <w:r w:rsidRPr="00146F28">
        <w:rPr>
          <w:rFonts w:ascii="Times New Roman" w:hAnsi="Times New Roman" w:cs="Times New Roman"/>
        </w:rPr>
        <w:t xml:space="preserve"> pacienty, který</w:t>
      </w:r>
      <w:r w:rsidR="00F4208E">
        <w:rPr>
          <w:rFonts w:ascii="Times New Roman" w:hAnsi="Times New Roman" w:cs="Times New Roman"/>
        </w:rPr>
        <w:t>m</w:t>
      </w:r>
      <w:r w:rsidRPr="00146F28">
        <w:rPr>
          <w:rFonts w:ascii="Times New Roman" w:hAnsi="Times New Roman" w:cs="Times New Roman"/>
        </w:rPr>
        <w:t xml:space="preserve"> </w:t>
      </w:r>
      <w:r w:rsidR="00BA023E">
        <w:rPr>
          <w:rFonts w:ascii="Times New Roman" w:hAnsi="Times New Roman" w:cs="Times New Roman"/>
        </w:rPr>
        <w:t xml:space="preserve">léčba </w:t>
      </w:r>
      <w:r w:rsidRPr="00146F28">
        <w:rPr>
          <w:rFonts w:ascii="Times New Roman" w:hAnsi="Times New Roman" w:cs="Times New Roman"/>
        </w:rPr>
        <w:t>ještě</w:t>
      </w:r>
      <w:r w:rsidR="005C7D93">
        <w:rPr>
          <w:rFonts w:ascii="Times New Roman" w:hAnsi="Times New Roman" w:cs="Times New Roman"/>
        </w:rPr>
        <w:t xml:space="preserve"> </w:t>
      </w:r>
      <w:r w:rsidR="00BA023E">
        <w:rPr>
          <w:rFonts w:ascii="Times New Roman" w:hAnsi="Times New Roman" w:cs="Times New Roman"/>
        </w:rPr>
        <w:t xml:space="preserve">může </w:t>
      </w:r>
      <w:r w:rsidR="005C7D93">
        <w:rPr>
          <w:rFonts w:ascii="Times New Roman" w:hAnsi="Times New Roman" w:cs="Times New Roman"/>
        </w:rPr>
        <w:t xml:space="preserve">pomoci, </w:t>
      </w:r>
      <w:r w:rsidR="00F4208E">
        <w:rPr>
          <w:rFonts w:ascii="Times New Roman" w:hAnsi="Times New Roman" w:cs="Times New Roman"/>
        </w:rPr>
        <w:t>a naopak nez</w:t>
      </w:r>
      <w:r w:rsidR="002D66E9">
        <w:rPr>
          <w:rFonts w:ascii="Times New Roman" w:hAnsi="Times New Roman" w:cs="Times New Roman"/>
        </w:rPr>
        <w:t>atěžuje</w:t>
      </w:r>
      <w:r w:rsidR="00F4208E">
        <w:rPr>
          <w:rFonts w:ascii="Times New Roman" w:hAnsi="Times New Roman" w:cs="Times New Roman"/>
        </w:rPr>
        <w:t xml:space="preserve"> t</w:t>
      </w:r>
      <w:r w:rsidRPr="00146F28">
        <w:rPr>
          <w:rFonts w:ascii="Times New Roman" w:hAnsi="Times New Roman" w:cs="Times New Roman"/>
        </w:rPr>
        <w:t>y, u nichž už nemá žádný efekt.</w:t>
      </w:r>
      <w:r>
        <w:rPr>
          <w:rFonts w:ascii="Times New Roman" w:hAnsi="Times New Roman" w:cs="Times New Roman"/>
        </w:rPr>
        <w:t xml:space="preserve"> </w:t>
      </w:r>
      <w:r w:rsidR="005A2965">
        <w:rPr>
          <w:rFonts w:ascii="Times New Roman" w:hAnsi="Times New Roman" w:cs="Times New Roman"/>
        </w:rPr>
        <w:t>V</w:t>
      </w:r>
      <w:r w:rsidR="00F4208E">
        <w:rPr>
          <w:rFonts w:ascii="Times New Roman" w:hAnsi="Times New Roman" w:cs="Times New Roman"/>
        </w:rPr>
        <w:t>náší</w:t>
      </w:r>
      <w:r w:rsidR="005A2965">
        <w:rPr>
          <w:rFonts w:ascii="Times New Roman" w:hAnsi="Times New Roman" w:cs="Times New Roman"/>
        </w:rPr>
        <w:t xml:space="preserve"> tak</w:t>
      </w:r>
      <w:r w:rsidR="00F4208E">
        <w:rPr>
          <w:rFonts w:ascii="Times New Roman" w:hAnsi="Times New Roman" w:cs="Times New Roman"/>
        </w:rPr>
        <w:t xml:space="preserve"> vědecké světlo do eticky náročn</w:t>
      </w:r>
      <w:r w:rsidR="00353769">
        <w:rPr>
          <w:rFonts w:ascii="Times New Roman" w:hAnsi="Times New Roman" w:cs="Times New Roman"/>
        </w:rPr>
        <w:t xml:space="preserve">ého </w:t>
      </w:r>
      <w:r w:rsidR="00F4208E">
        <w:rPr>
          <w:rFonts w:ascii="Times New Roman" w:hAnsi="Times New Roman" w:cs="Times New Roman"/>
        </w:rPr>
        <w:t>medicínsk</w:t>
      </w:r>
      <w:r w:rsidR="00353769">
        <w:rPr>
          <w:rFonts w:ascii="Times New Roman" w:hAnsi="Times New Roman" w:cs="Times New Roman"/>
        </w:rPr>
        <w:t>ého</w:t>
      </w:r>
      <w:r w:rsidR="00F4208E">
        <w:rPr>
          <w:rFonts w:ascii="Times New Roman" w:hAnsi="Times New Roman" w:cs="Times New Roman"/>
        </w:rPr>
        <w:t xml:space="preserve"> rozhodování,“</w:t>
      </w:r>
      <w:r w:rsidRPr="00146F28">
        <w:rPr>
          <w:rFonts w:ascii="Times New Roman" w:hAnsi="Times New Roman" w:cs="Times New Roman"/>
        </w:rPr>
        <w:t xml:space="preserve"> říká děkan 1. LF UK prof. M</w:t>
      </w:r>
      <w:r>
        <w:rPr>
          <w:rFonts w:ascii="Times New Roman" w:hAnsi="Times New Roman" w:cs="Times New Roman"/>
        </w:rPr>
        <w:t xml:space="preserve">UDr. </w:t>
      </w:r>
      <w:r w:rsidRPr="00146F28">
        <w:rPr>
          <w:rFonts w:ascii="Times New Roman" w:hAnsi="Times New Roman" w:cs="Times New Roman"/>
        </w:rPr>
        <w:t>Aleksi Šedo</w:t>
      </w:r>
      <w:r w:rsidR="009B688C">
        <w:rPr>
          <w:rFonts w:ascii="Times New Roman" w:hAnsi="Times New Roman" w:cs="Times New Roman"/>
        </w:rPr>
        <w:t>,</w:t>
      </w:r>
      <w:r w:rsidRPr="00146F28">
        <w:rPr>
          <w:rFonts w:ascii="Times New Roman" w:hAnsi="Times New Roman" w:cs="Times New Roman"/>
        </w:rPr>
        <w:t xml:space="preserve"> DrSc.</w:t>
      </w:r>
      <w:r w:rsidR="00795397" w:rsidRPr="00795397">
        <w:rPr>
          <w:rFonts w:ascii="Times New Roman" w:hAnsi="Times New Roman" w:cs="Times New Roman"/>
        </w:rPr>
        <w:t xml:space="preserve"> </w:t>
      </w:r>
    </w:p>
    <w:p w14:paraId="0BDAB64E" w14:textId="61362599" w:rsidR="003A2194" w:rsidRDefault="000F7011" w:rsidP="006A4078">
      <w:pPr>
        <w:rPr>
          <w:rFonts w:ascii="Times New Roman" w:hAnsi="Times New Roman" w:cs="Times New Roman"/>
        </w:rPr>
      </w:pPr>
      <w:r w:rsidRPr="00A832C5">
        <w:rPr>
          <w:rFonts w:ascii="Times New Roman" w:hAnsi="Times New Roman" w:cs="Times New Roman"/>
          <w:b/>
        </w:rPr>
        <w:t xml:space="preserve">MPI pomůže pacientům i lékařům </w:t>
      </w:r>
      <w:r w:rsidR="00544BDE">
        <w:rPr>
          <w:rFonts w:ascii="Times New Roman" w:hAnsi="Times New Roman" w:cs="Times New Roman"/>
          <w:b/>
        </w:rPr>
        <w:br/>
      </w:r>
      <w:r w:rsidR="00544BDE">
        <w:rPr>
          <w:rFonts w:ascii="Times New Roman" w:hAnsi="Times New Roman" w:cs="Times New Roman"/>
        </w:rPr>
        <w:t xml:space="preserve">Index </w:t>
      </w:r>
      <w:r w:rsidR="00544BDE" w:rsidRPr="00F66C94">
        <w:rPr>
          <w:rFonts w:ascii="Times New Roman" w:hAnsi="Times New Roman" w:cs="Times New Roman"/>
        </w:rPr>
        <w:t xml:space="preserve">MPI </w:t>
      </w:r>
      <w:r w:rsidR="00544BDE">
        <w:rPr>
          <w:rFonts w:ascii="Times New Roman" w:hAnsi="Times New Roman" w:cs="Times New Roman"/>
        </w:rPr>
        <w:t>se v rámci evropského p</w:t>
      </w:r>
      <w:r w:rsidR="003036C7">
        <w:rPr>
          <w:rFonts w:ascii="Times New Roman" w:hAnsi="Times New Roman" w:cs="Times New Roman"/>
        </w:rPr>
        <w:t>rojekt</w:t>
      </w:r>
      <w:r w:rsidR="00544BDE">
        <w:rPr>
          <w:rFonts w:ascii="Times New Roman" w:hAnsi="Times New Roman" w:cs="Times New Roman"/>
        </w:rPr>
        <w:t>u</w:t>
      </w:r>
      <w:r w:rsidR="003036C7">
        <w:rPr>
          <w:rFonts w:ascii="Times New Roman" w:hAnsi="Times New Roman" w:cs="Times New Roman"/>
        </w:rPr>
        <w:t xml:space="preserve"> </w:t>
      </w:r>
      <w:r w:rsidR="004A73FF" w:rsidRPr="00F66C94">
        <w:rPr>
          <w:rFonts w:ascii="Times New Roman" w:hAnsi="Times New Roman" w:cs="Times New Roman"/>
        </w:rPr>
        <w:t>ověř</w:t>
      </w:r>
      <w:r w:rsidR="003036C7">
        <w:rPr>
          <w:rFonts w:ascii="Times New Roman" w:hAnsi="Times New Roman" w:cs="Times New Roman"/>
        </w:rPr>
        <w:t>oval</w:t>
      </w:r>
      <w:r w:rsidR="004A73FF" w:rsidRPr="00F66C94">
        <w:rPr>
          <w:rFonts w:ascii="Times New Roman" w:hAnsi="Times New Roman" w:cs="Times New Roman"/>
        </w:rPr>
        <w:t xml:space="preserve"> u </w:t>
      </w:r>
      <w:r w:rsidR="00895E1A">
        <w:rPr>
          <w:rFonts w:ascii="Times New Roman" w:hAnsi="Times New Roman" w:cs="Times New Roman"/>
        </w:rPr>
        <w:t xml:space="preserve">více než </w:t>
      </w:r>
      <w:r w:rsidR="00AC2402">
        <w:rPr>
          <w:rFonts w:ascii="Times New Roman" w:hAnsi="Times New Roman" w:cs="Times New Roman"/>
        </w:rPr>
        <w:t xml:space="preserve">tisíce </w:t>
      </w:r>
      <w:r w:rsidR="004A73FF" w:rsidRPr="00F66C94">
        <w:rPr>
          <w:rFonts w:ascii="Times New Roman" w:hAnsi="Times New Roman" w:cs="Times New Roman"/>
        </w:rPr>
        <w:t>hospitalizovaných geriatrických pacientů v </w:t>
      </w:r>
      <w:r w:rsidR="009517B7">
        <w:rPr>
          <w:rFonts w:ascii="Times New Roman" w:hAnsi="Times New Roman" w:cs="Times New Roman"/>
        </w:rPr>
        <w:t>9</w:t>
      </w:r>
      <w:r w:rsidR="004A73FF" w:rsidRPr="00F66C94">
        <w:rPr>
          <w:rFonts w:ascii="Times New Roman" w:hAnsi="Times New Roman" w:cs="Times New Roman"/>
        </w:rPr>
        <w:t xml:space="preserve"> zemích. Výz</w:t>
      </w:r>
      <w:r w:rsidR="003A2194">
        <w:rPr>
          <w:rFonts w:ascii="Times New Roman" w:hAnsi="Times New Roman" w:cs="Times New Roman"/>
        </w:rPr>
        <w:t xml:space="preserve">namné zprávy o </w:t>
      </w:r>
      <w:r w:rsidR="00895E1A">
        <w:rPr>
          <w:rFonts w:ascii="Times New Roman" w:hAnsi="Times New Roman" w:cs="Times New Roman"/>
        </w:rPr>
        <w:t xml:space="preserve">účinnosti </w:t>
      </w:r>
      <w:r w:rsidR="003A2194">
        <w:rPr>
          <w:rFonts w:ascii="Times New Roman" w:hAnsi="Times New Roman" w:cs="Times New Roman"/>
        </w:rPr>
        <w:t>léčb</w:t>
      </w:r>
      <w:r w:rsidR="00895E1A">
        <w:rPr>
          <w:rFonts w:ascii="Times New Roman" w:hAnsi="Times New Roman" w:cs="Times New Roman"/>
        </w:rPr>
        <w:t>y u</w:t>
      </w:r>
      <w:r w:rsidR="003A2194">
        <w:rPr>
          <w:rFonts w:ascii="Times New Roman" w:hAnsi="Times New Roman" w:cs="Times New Roman"/>
        </w:rPr>
        <w:t xml:space="preserve"> </w:t>
      </w:r>
      <w:r w:rsidR="00544BDE">
        <w:rPr>
          <w:rFonts w:ascii="Times New Roman" w:hAnsi="Times New Roman" w:cs="Times New Roman"/>
        </w:rPr>
        <w:t xml:space="preserve">seniorů </w:t>
      </w:r>
      <w:r w:rsidR="003152BB">
        <w:rPr>
          <w:rFonts w:ascii="Times New Roman" w:hAnsi="Times New Roman" w:cs="Times New Roman"/>
        </w:rPr>
        <w:t xml:space="preserve">přinesly </w:t>
      </w:r>
      <w:r w:rsidR="003A2194">
        <w:rPr>
          <w:rFonts w:ascii="Times New Roman" w:hAnsi="Times New Roman" w:cs="Times New Roman"/>
        </w:rPr>
        <w:t>nejprve</w:t>
      </w:r>
      <w:r w:rsidR="004A73FF" w:rsidRPr="00F66C94">
        <w:rPr>
          <w:rFonts w:ascii="Times New Roman" w:hAnsi="Times New Roman" w:cs="Times New Roman"/>
        </w:rPr>
        <w:t xml:space="preserve"> observační </w:t>
      </w:r>
      <w:r w:rsidR="003036C7">
        <w:rPr>
          <w:rFonts w:ascii="Times New Roman" w:hAnsi="Times New Roman" w:cs="Times New Roman"/>
        </w:rPr>
        <w:t xml:space="preserve">(pozorovací) </w:t>
      </w:r>
      <w:r w:rsidR="004A73FF" w:rsidRPr="00F66C94">
        <w:rPr>
          <w:rFonts w:ascii="Times New Roman" w:hAnsi="Times New Roman" w:cs="Times New Roman"/>
        </w:rPr>
        <w:t>studie velkých</w:t>
      </w:r>
      <w:r w:rsidR="003036C7">
        <w:rPr>
          <w:rFonts w:ascii="Times New Roman" w:hAnsi="Times New Roman" w:cs="Times New Roman"/>
        </w:rPr>
        <w:t xml:space="preserve"> skupin pacientů.</w:t>
      </w:r>
      <w:r w:rsidR="003A2194">
        <w:rPr>
          <w:rFonts w:ascii="Times New Roman" w:hAnsi="Times New Roman" w:cs="Times New Roman"/>
        </w:rPr>
        <w:t xml:space="preserve"> Jejich závěry jsou shodné: lékaři </w:t>
      </w:r>
      <w:r w:rsidR="003A2194" w:rsidRPr="00F66C94">
        <w:rPr>
          <w:rFonts w:ascii="Times New Roman" w:hAnsi="Times New Roman" w:cs="Times New Roman"/>
        </w:rPr>
        <w:t xml:space="preserve">u starších nemocných </w:t>
      </w:r>
      <w:r w:rsidR="00B03F9B">
        <w:rPr>
          <w:rFonts w:ascii="Times New Roman" w:hAnsi="Times New Roman" w:cs="Times New Roman"/>
        </w:rPr>
        <w:t xml:space="preserve">omezovali </w:t>
      </w:r>
      <w:r w:rsidR="003A2194">
        <w:rPr>
          <w:rFonts w:ascii="Times New Roman" w:hAnsi="Times New Roman" w:cs="Times New Roman"/>
        </w:rPr>
        <w:t>léčbu, která mohla život těchto pac</w:t>
      </w:r>
      <w:r w:rsidR="00B03F9B">
        <w:rPr>
          <w:rFonts w:ascii="Times New Roman" w:hAnsi="Times New Roman" w:cs="Times New Roman"/>
        </w:rPr>
        <w:t xml:space="preserve">ientů prodlužit. </w:t>
      </w:r>
      <w:r w:rsidR="001315CF">
        <w:rPr>
          <w:rFonts w:ascii="Times New Roman" w:hAnsi="Times New Roman" w:cs="Times New Roman"/>
        </w:rPr>
        <w:t xml:space="preserve">Ustupovali od </w:t>
      </w:r>
      <w:r w:rsidR="003A2194">
        <w:rPr>
          <w:rFonts w:ascii="Times New Roman" w:hAnsi="Times New Roman" w:cs="Times New Roman"/>
        </w:rPr>
        <w:t xml:space="preserve">léčby z důvodu </w:t>
      </w:r>
      <w:r w:rsidR="00895E1A">
        <w:rPr>
          <w:rFonts w:ascii="Times New Roman" w:hAnsi="Times New Roman" w:cs="Times New Roman"/>
        </w:rPr>
        <w:t>fyzických omezení</w:t>
      </w:r>
      <w:r w:rsidR="003A2194" w:rsidRPr="00F66C94">
        <w:rPr>
          <w:rFonts w:ascii="Times New Roman" w:hAnsi="Times New Roman" w:cs="Times New Roman"/>
        </w:rPr>
        <w:t>, křehkosti a vysokého věku</w:t>
      </w:r>
      <w:r w:rsidR="00B03F9B">
        <w:rPr>
          <w:rFonts w:ascii="Times New Roman" w:hAnsi="Times New Roman" w:cs="Times New Roman"/>
        </w:rPr>
        <w:t xml:space="preserve"> pacientů</w:t>
      </w:r>
      <w:r w:rsidR="003A2194" w:rsidRPr="00F66C94">
        <w:rPr>
          <w:rFonts w:ascii="Times New Roman" w:hAnsi="Times New Roman" w:cs="Times New Roman"/>
        </w:rPr>
        <w:t xml:space="preserve">, i když tato léčba mohla být prospěšná. </w:t>
      </w:r>
    </w:p>
    <w:p w14:paraId="609094D8" w14:textId="3AE82AF0" w:rsidR="003152BB" w:rsidRDefault="001315CF" w:rsidP="006A4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 čem </w:t>
      </w:r>
      <w:r w:rsidR="00E740AA">
        <w:rPr>
          <w:rFonts w:ascii="Times New Roman" w:hAnsi="Times New Roman" w:cs="Times New Roman"/>
        </w:rPr>
        <w:t>konkrétně</w:t>
      </w:r>
      <w:r>
        <w:rPr>
          <w:rFonts w:ascii="Times New Roman" w:hAnsi="Times New Roman" w:cs="Times New Roman"/>
        </w:rPr>
        <w:t xml:space="preserve"> může </w:t>
      </w:r>
      <w:r w:rsidR="00E740AA">
        <w:rPr>
          <w:rFonts w:ascii="Times New Roman" w:hAnsi="Times New Roman" w:cs="Times New Roman"/>
        </w:rPr>
        <w:t>MPI</w:t>
      </w:r>
      <w:r>
        <w:rPr>
          <w:rFonts w:ascii="Times New Roman" w:hAnsi="Times New Roman" w:cs="Times New Roman"/>
        </w:rPr>
        <w:t xml:space="preserve"> zdravotníkům pomoci? </w:t>
      </w:r>
      <w:r w:rsidR="00E740AA">
        <w:rPr>
          <w:rFonts w:ascii="Times New Roman" w:hAnsi="Times New Roman" w:cs="Times New Roman"/>
        </w:rPr>
        <w:t>Výsledky projektu potvrdily, že</w:t>
      </w:r>
      <w:r w:rsidR="00192359">
        <w:rPr>
          <w:rFonts w:ascii="Times New Roman" w:hAnsi="Times New Roman" w:cs="Times New Roman"/>
        </w:rPr>
        <w:t xml:space="preserve"> MPI </w:t>
      </w:r>
      <w:r w:rsidR="00E740AA">
        <w:rPr>
          <w:rFonts w:ascii="Times New Roman" w:hAnsi="Times New Roman" w:cs="Times New Roman"/>
        </w:rPr>
        <w:t xml:space="preserve"> index dokáže u geriatrických pacientů před</w:t>
      </w:r>
      <w:r w:rsidR="00AC2402">
        <w:rPr>
          <w:rFonts w:ascii="Times New Roman" w:hAnsi="Times New Roman" w:cs="Times New Roman"/>
        </w:rPr>
        <w:t xml:space="preserve">povědět </w:t>
      </w:r>
      <w:r w:rsidR="00192359">
        <w:rPr>
          <w:rFonts w:ascii="Times New Roman" w:hAnsi="Times New Roman" w:cs="Times New Roman"/>
        </w:rPr>
        <w:t xml:space="preserve">riziko </w:t>
      </w:r>
      <w:r w:rsidR="00AC2402">
        <w:rPr>
          <w:rFonts w:ascii="Times New Roman" w:hAnsi="Times New Roman" w:cs="Times New Roman"/>
        </w:rPr>
        <w:t>úmrtí během</w:t>
      </w:r>
      <w:r w:rsidR="00E740AA">
        <w:rPr>
          <w:rFonts w:ascii="Times New Roman" w:hAnsi="Times New Roman" w:cs="Times New Roman"/>
        </w:rPr>
        <w:t xml:space="preserve"> hospitalizace, předpovídá také délku jejich </w:t>
      </w:r>
      <w:r w:rsidR="00AC2402">
        <w:rPr>
          <w:rFonts w:ascii="Times New Roman" w:hAnsi="Times New Roman" w:cs="Times New Roman"/>
        </w:rPr>
        <w:t xml:space="preserve">pobytu v nemocnici a </w:t>
      </w:r>
      <w:r w:rsidR="00E740AA">
        <w:rPr>
          <w:rFonts w:ascii="Times New Roman" w:hAnsi="Times New Roman" w:cs="Times New Roman"/>
        </w:rPr>
        <w:t xml:space="preserve">navíc </w:t>
      </w:r>
      <w:r w:rsidR="009358BC">
        <w:rPr>
          <w:rFonts w:ascii="Times New Roman" w:hAnsi="Times New Roman" w:cs="Times New Roman"/>
        </w:rPr>
        <w:t xml:space="preserve">dokáže stanovit </w:t>
      </w:r>
      <w:r w:rsidR="00E740AA">
        <w:rPr>
          <w:rFonts w:ascii="Times New Roman" w:hAnsi="Times New Roman" w:cs="Times New Roman"/>
        </w:rPr>
        <w:t>i úmrtnost během dalších 12 měsíců po propuštění z nemocnice.</w:t>
      </w:r>
      <w:r w:rsidR="00084A30">
        <w:rPr>
          <w:rFonts w:ascii="Times New Roman" w:hAnsi="Times New Roman" w:cs="Times New Roman"/>
        </w:rPr>
        <w:t xml:space="preserve"> </w:t>
      </w:r>
      <w:r w:rsidR="00E740AA">
        <w:rPr>
          <w:rFonts w:ascii="Times New Roman" w:hAnsi="Times New Roman" w:cs="Times New Roman"/>
        </w:rPr>
        <w:t xml:space="preserve"> </w:t>
      </w:r>
    </w:p>
    <w:p w14:paraId="25AAF963" w14:textId="37438AC9" w:rsidR="006F1366" w:rsidRDefault="00192359" w:rsidP="006A40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MPI index lze snadno vypočítat</w:t>
      </w:r>
      <w:r w:rsidR="00290B2D">
        <w:rPr>
          <w:rFonts w:ascii="Times New Roman" w:hAnsi="Times New Roman" w:cs="Times New Roman"/>
        </w:rPr>
        <w:t xml:space="preserve"> na základě k</w:t>
      </w:r>
      <w:r w:rsidR="003152BB">
        <w:rPr>
          <w:rFonts w:ascii="Times New Roman" w:hAnsi="Times New Roman" w:cs="Times New Roman"/>
        </w:rPr>
        <w:t>omplexní</w:t>
      </w:r>
      <w:r w:rsidR="00290B2D">
        <w:rPr>
          <w:rFonts w:ascii="Times New Roman" w:hAnsi="Times New Roman" w:cs="Times New Roman"/>
        </w:rPr>
        <w:t>ho</w:t>
      </w:r>
      <w:r w:rsidR="003152BB">
        <w:rPr>
          <w:rFonts w:ascii="Times New Roman" w:hAnsi="Times New Roman" w:cs="Times New Roman"/>
        </w:rPr>
        <w:t xml:space="preserve"> posouzení</w:t>
      </w:r>
      <w:r w:rsidR="00290B2D">
        <w:rPr>
          <w:rFonts w:ascii="Times New Roman" w:hAnsi="Times New Roman" w:cs="Times New Roman"/>
        </w:rPr>
        <w:t xml:space="preserve"> zdravotního stavu a zdravotních rizik, které</w:t>
      </w:r>
      <w:r w:rsidR="006F1366">
        <w:rPr>
          <w:rFonts w:ascii="Times New Roman" w:hAnsi="Times New Roman" w:cs="Times New Roman"/>
        </w:rPr>
        <w:t xml:space="preserve"> zahrnuje 8 oblastí – </w:t>
      </w:r>
      <w:proofErr w:type="spellStart"/>
      <w:r w:rsidR="00290B2D">
        <w:rPr>
          <w:rFonts w:ascii="Times New Roman" w:hAnsi="Times New Roman" w:cs="Times New Roman"/>
        </w:rPr>
        <w:t>multi</w:t>
      </w:r>
      <w:r w:rsidR="006F1366">
        <w:rPr>
          <w:rFonts w:ascii="Times New Roman" w:hAnsi="Times New Roman" w:cs="Times New Roman"/>
        </w:rPr>
        <w:t>morbiditu</w:t>
      </w:r>
      <w:proofErr w:type="spellEnd"/>
      <w:r w:rsidR="006F1366">
        <w:rPr>
          <w:rFonts w:ascii="Times New Roman" w:hAnsi="Times New Roman" w:cs="Times New Roman"/>
        </w:rPr>
        <w:t xml:space="preserve"> (s</w:t>
      </w:r>
      <w:r w:rsidR="006F1366" w:rsidRPr="006F1366">
        <w:rPr>
          <w:rFonts w:ascii="Times New Roman" w:hAnsi="Times New Roman" w:cs="Times New Roman"/>
        </w:rPr>
        <w:t>oučasný výskyt více nemocí</w:t>
      </w:r>
      <w:r w:rsidR="006F1366">
        <w:rPr>
          <w:rFonts w:ascii="Times New Roman" w:hAnsi="Times New Roman" w:cs="Times New Roman"/>
        </w:rPr>
        <w:t xml:space="preserve">), </w:t>
      </w:r>
      <w:r w:rsidR="00290B2D">
        <w:rPr>
          <w:rFonts w:ascii="Times New Roman" w:hAnsi="Times New Roman" w:cs="Times New Roman"/>
        </w:rPr>
        <w:t xml:space="preserve">stav </w:t>
      </w:r>
      <w:r w:rsidR="006F1366">
        <w:rPr>
          <w:rFonts w:ascii="Times New Roman" w:hAnsi="Times New Roman" w:cs="Times New Roman"/>
        </w:rPr>
        <w:t>výživ</w:t>
      </w:r>
      <w:r w:rsidR="00290B2D">
        <w:rPr>
          <w:rFonts w:ascii="Times New Roman" w:hAnsi="Times New Roman" w:cs="Times New Roman"/>
        </w:rPr>
        <w:t>y</w:t>
      </w:r>
      <w:r w:rsidR="003152BB" w:rsidRPr="00F66C94">
        <w:rPr>
          <w:rFonts w:ascii="Times New Roman" w:hAnsi="Times New Roman" w:cs="Times New Roman"/>
        </w:rPr>
        <w:t xml:space="preserve">, </w:t>
      </w:r>
      <w:r w:rsidR="00290B2D">
        <w:rPr>
          <w:rFonts w:ascii="Times New Roman" w:hAnsi="Times New Roman" w:cs="Times New Roman"/>
        </w:rPr>
        <w:t>paměť a další poznávací funkce</w:t>
      </w:r>
      <w:r w:rsidR="003152BB" w:rsidRPr="00F66C94">
        <w:rPr>
          <w:rFonts w:ascii="Times New Roman" w:hAnsi="Times New Roman" w:cs="Times New Roman"/>
        </w:rPr>
        <w:t xml:space="preserve">, </w:t>
      </w:r>
      <w:r w:rsidR="006F1366">
        <w:rPr>
          <w:rFonts w:ascii="Times New Roman" w:hAnsi="Times New Roman" w:cs="Times New Roman"/>
        </w:rPr>
        <w:t>množství užívaných léků</w:t>
      </w:r>
      <w:r w:rsidR="003152BB" w:rsidRPr="00F66C94">
        <w:rPr>
          <w:rFonts w:ascii="Times New Roman" w:hAnsi="Times New Roman" w:cs="Times New Roman"/>
        </w:rPr>
        <w:t>, riziko dekubitů, sociální podpor</w:t>
      </w:r>
      <w:r w:rsidR="006F1366">
        <w:rPr>
          <w:rFonts w:ascii="Times New Roman" w:hAnsi="Times New Roman" w:cs="Times New Roman"/>
        </w:rPr>
        <w:t xml:space="preserve">u a </w:t>
      </w:r>
      <w:r w:rsidR="003152BB" w:rsidRPr="00F66C94">
        <w:rPr>
          <w:rFonts w:ascii="Times New Roman" w:hAnsi="Times New Roman" w:cs="Times New Roman"/>
        </w:rPr>
        <w:t>soběstačnost</w:t>
      </w:r>
      <w:r w:rsidR="006F1366">
        <w:rPr>
          <w:rFonts w:ascii="Times New Roman" w:hAnsi="Times New Roman" w:cs="Times New Roman"/>
        </w:rPr>
        <w:t xml:space="preserve"> v</w:t>
      </w:r>
      <w:r w:rsidR="00290B2D">
        <w:rPr>
          <w:rFonts w:ascii="Times New Roman" w:hAnsi="Times New Roman" w:cs="Times New Roman"/>
        </w:rPr>
        <w:t> sebeobsluze a náročnějších</w:t>
      </w:r>
      <w:r w:rsidR="006F1366">
        <w:rPr>
          <w:rFonts w:ascii="Times New Roman" w:hAnsi="Times New Roman" w:cs="Times New Roman"/>
        </w:rPr>
        <w:t xml:space="preserve"> denních </w:t>
      </w:r>
      <w:r w:rsidR="00290B2D">
        <w:rPr>
          <w:rFonts w:ascii="Times New Roman" w:hAnsi="Times New Roman" w:cs="Times New Roman"/>
        </w:rPr>
        <w:t>činnostech</w:t>
      </w:r>
      <w:r w:rsidR="006F1366">
        <w:rPr>
          <w:rFonts w:ascii="Times New Roman" w:hAnsi="Times New Roman" w:cs="Times New Roman"/>
        </w:rPr>
        <w:t xml:space="preserve">. </w:t>
      </w:r>
    </w:p>
    <w:p w14:paraId="2B2E196B" w14:textId="77777777" w:rsidR="002F2891" w:rsidRDefault="002F2891" w:rsidP="006A40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291D82B" w14:textId="6EEF4581" w:rsidR="002F2891" w:rsidRDefault="006F1366" w:rsidP="002E03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Zhodnocení trvá asi </w:t>
      </w:r>
      <w:r w:rsidR="00895E1A">
        <w:rPr>
          <w:rFonts w:ascii="Times New Roman" w:hAnsi="Times New Roman" w:cs="Times New Roman"/>
        </w:rPr>
        <w:t>20 minut</w:t>
      </w:r>
      <w:r>
        <w:rPr>
          <w:rFonts w:ascii="Times New Roman" w:hAnsi="Times New Roman" w:cs="Times New Roman"/>
        </w:rPr>
        <w:t xml:space="preserve"> a rozdělí </w:t>
      </w:r>
      <w:r w:rsidR="003152BB" w:rsidRPr="00F66C94">
        <w:rPr>
          <w:rFonts w:ascii="Times New Roman" w:hAnsi="Times New Roman" w:cs="Times New Roman"/>
        </w:rPr>
        <w:t xml:space="preserve">pacienty </w:t>
      </w:r>
      <w:r>
        <w:rPr>
          <w:rFonts w:ascii="Times New Roman" w:hAnsi="Times New Roman" w:cs="Times New Roman"/>
        </w:rPr>
        <w:t>podle očekávaného rizika úmrtí</w:t>
      </w:r>
      <w:r w:rsidR="00AC2402">
        <w:rPr>
          <w:rFonts w:ascii="Times New Roman" w:hAnsi="Times New Roman" w:cs="Times New Roman"/>
        </w:rPr>
        <w:t xml:space="preserve"> během </w:t>
      </w:r>
      <w:r w:rsidR="00D7561F">
        <w:rPr>
          <w:rFonts w:ascii="Times New Roman" w:hAnsi="Times New Roman" w:cs="Times New Roman"/>
        </w:rPr>
        <w:t>tří</w:t>
      </w:r>
      <w:r w:rsidR="00AC2402">
        <w:rPr>
          <w:rFonts w:ascii="Times New Roman" w:hAnsi="Times New Roman" w:cs="Times New Roman"/>
        </w:rPr>
        <w:t xml:space="preserve"> </w:t>
      </w:r>
      <w:r w:rsidR="00D7561F">
        <w:rPr>
          <w:rFonts w:ascii="Times New Roman" w:hAnsi="Times New Roman" w:cs="Times New Roman"/>
        </w:rPr>
        <w:t>měsí</w:t>
      </w:r>
      <w:r w:rsidR="00AC2402">
        <w:rPr>
          <w:rFonts w:ascii="Times New Roman" w:hAnsi="Times New Roman" w:cs="Times New Roman"/>
        </w:rPr>
        <w:t xml:space="preserve">ců a během jednoho roku. </w:t>
      </w:r>
      <w:r w:rsidR="00D7561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oučasně </w:t>
      </w:r>
      <w:r w:rsidR="00D7561F">
        <w:rPr>
          <w:rFonts w:ascii="Times New Roman" w:hAnsi="Times New Roman" w:cs="Times New Roman"/>
        </w:rPr>
        <w:t xml:space="preserve">MPI rozřadí </w:t>
      </w:r>
      <w:r w:rsidR="003152BB" w:rsidRPr="00F66C94">
        <w:rPr>
          <w:rFonts w:ascii="Times New Roman" w:hAnsi="Times New Roman" w:cs="Times New Roman"/>
        </w:rPr>
        <w:t>pacient</w:t>
      </w:r>
      <w:r w:rsidR="00D7561F">
        <w:rPr>
          <w:rFonts w:ascii="Times New Roman" w:hAnsi="Times New Roman" w:cs="Times New Roman"/>
        </w:rPr>
        <w:t xml:space="preserve">y </w:t>
      </w:r>
      <w:r w:rsidR="003152BB" w:rsidRPr="00F66C94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tří</w:t>
      </w:r>
      <w:r w:rsidR="003152BB" w:rsidRPr="00F66C94">
        <w:rPr>
          <w:rFonts w:ascii="Times New Roman" w:hAnsi="Times New Roman" w:cs="Times New Roman"/>
        </w:rPr>
        <w:t xml:space="preserve"> skupin</w:t>
      </w:r>
      <w:r>
        <w:rPr>
          <w:rFonts w:ascii="Times New Roman" w:hAnsi="Times New Roman" w:cs="Times New Roman"/>
        </w:rPr>
        <w:t xml:space="preserve"> </w:t>
      </w:r>
      <w:r w:rsidR="00895E1A">
        <w:rPr>
          <w:rFonts w:ascii="Times New Roman" w:hAnsi="Times New Roman" w:cs="Times New Roman"/>
        </w:rPr>
        <w:t xml:space="preserve">podle pravděpodobnosti přežití </w:t>
      </w:r>
      <w:r>
        <w:rPr>
          <w:rFonts w:ascii="Times New Roman" w:hAnsi="Times New Roman" w:cs="Times New Roman"/>
        </w:rPr>
        <w:t>na</w:t>
      </w:r>
      <w:r w:rsidR="003152BB" w:rsidRPr="00F66C94">
        <w:rPr>
          <w:rFonts w:ascii="Times New Roman" w:hAnsi="Times New Roman" w:cs="Times New Roman"/>
        </w:rPr>
        <w:t xml:space="preserve"> „robustní“, ohrožen</w:t>
      </w:r>
      <w:r w:rsidR="00A81B9C">
        <w:rPr>
          <w:rFonts w:ascii="Times New Roman" w:hAnsi="Times New Roman" w:cs="Times New Roman"/>
        </w:rPr>
        <w:t>é křehkostí a křehké nemocné. „Tyto znalosti ovlivní lékařovo rozhod</w:t>
      </w:r>
      <w:r w:rsidR="00895E1A">
        <w:rPr>
          <w:rFonts w:ascii="Times New Roman" w:hAnsi="Times New Roman" w:cs="Times New Roman"/>
        </w:rPr>
        <w:t>ování</w:t>
      </w:r>
      <w:r w:rsidR="00A81B9C">
        <w:rPr>
          <w:rFonts w:ascii="Times New Roman" w:hAnsi="Times New Roman" w:cs="Times New Roman"/>
        </w:rPr>
        <w:t xml:space="preserve">, zda </w:t>
      </w:r>
      <w:r w:rsidR="00290B2D">
        <w:rPr>
          <w:rFonts w:ascii="Times New Roman" w:hAnsi="Times New Roman" w:cs="Times New Roman"/>
        </w:rPr>
        <w:t>a jak intenzivně pacienta léčit, zda léčebné postupy</w:t>
      </w:r>
      <w:r w:rsidR="00A81B9C">
        <w:rPr>
          <w:rFonts w:ascii="Times New Roman" w:hAnsi="Times New Roman" w:cs="Times New Roman"/>
        </w:rPr>
        <w:t xml:space="preserve"> </w:t>
      </w:r>
      <w:r w:rsidR="00290B2D">
        <w:rPr>
          <w:rFonts w:ascii="Times New Roman" w:hAnsi="Times New Roman" w:cs="Times New Roman"/>
        </w:rPr>
        <w:t>bude modifikova</w:t>
      </w:r>
      <w:r w:rsidR="00895E1A">
        <w:rPr>
          <w:rFonts w:ascii="Times New Roman" w:hAnsi="Times New Roman" w:cs="Times New Roman"/>
        </w:rPr>
        <w:t>t</w:t>
      </w:r>
      <w:r w:rsidR="00A81B9C">
        <w:rPr>
          <w:rFonts w:ascii="Times New Roman" w:hAnsi="Times New Roman" w:cs="Times New Roman"/>
        </w:rPr>
        <w:t xml:space="preserve">, anebo </w:t>
      </w:r>
      <w:r w:rsidR="00290B2D">
        <w:rPr>
          <w:rFonts w:ascii="Times New Roman" w:hAnsi="Times New Roman" w:cs="Times New Roman"/>
        </w:rPr>
        <w:t>dokonce od léčby upustí a zvolí postupy, které udrží</w:t>
      </w:r>
      <w:r w:rsidR="003152BB">
        <w:rPr>
          <w:rFonts w:ascii="Times New Roman" w:hAnsi="Times New Roman" w:cs="Times New Roman"/>
        </w:rPr>
        <w:t xml:space="preserve"> kvalitu</w:t>
      </w:r>
      <w:r w:rsidR="00AC2402">
        <w:rPr>
          <w:rFonts w:ascii="Times New Roman" w:hAnsi="Times New Roman" w:cs="Times New Roman"/>
        </w:rPr>
        <w:t xml:space="preserve"> </w:t>
      </w:r>
      <w:r w:rsidR="00290B2D">
        <w:rPr>
          <w:rFonts w:ascii="Times New Roman" w:hAnsi="Times New Roman" w:cs="Times New Roman"/>
        </w:rPr>
        <w:t xml:space="preserve">života </w:t>
      </w:r>
      <w:r w:rsidR="00AC2402">
        <w:rPr>
          <w:rFonts w:ascii="Times New Roman" w:hAnsi="Times New Roman" w:cs="Times New Roman"/>
        </w:rPr>
        <w:t>pacient</w:t>
      </w:r>
      <w:r w:rsidR="00290B2D">
        <w:rPr>
          <w:rFonts w:ascii="Times New Roman" w:hAnsi="Times New Roman" w:cs="Times New Roman"/>
        </w:rPr>
        <w:t>a</w:t>
      </w:r>
      <w:r w:rsidR="003152BB">
        <w:rPr>
          <w:rFonts w:ascii="Times New Roman" w:hAnsi="Times New Roman" w:cs="Times New Roman"/>
        </w:rPr>
        <w:t>. Lékařům, kteří se dosud rozhodovali na základě</w:t>
      </w:r>
      <w:r w:rsidR="00AF7B57">
        <w:rPr>
          <w:rFonts w:ascii="Times New Roman" w:hAnsi="Times New Roman" w:cs="Times New Roman"/>
        </w:rPr>
        <w:t xml:space="preserve"> klinické zkušenosti</w:t>
      </w:r>
      <w:r w:rsidR="003152BB">
        <w:rPr>
          <w:rFonts w:ascii="Times New Roman" w:hAnsi="Times New Roman" w:cs="Times New Roman"/>
        </w:rPr>
        <w:t>, bude nyní </w:t>
      </w:r>
      <w:r w:rsidR="00895E1A">
        <w:rPr>
          <w:rFonts w:ascii="Times New Roman" w:hAnsi="Times New Roman" w:cs="Times New Roman"/>
        </w:rPr>
        <w:t xml:space="preserve">MPI </w:t>
      </w:r>
      <w:r w:rsidR="003152BB">
        <w:rPr>
          <w:rFonts w:ascii="Times New Roman" w:hAnsi="Times New Roman" w:cs="Times New Roman"/>
        </w:rPr>
        <w:t>index poskytovat</w:t>
      </w:r>
      <w:r w:rsidR="003152BB" w:rsidRPr="00700DD8">
        <w:rPr>
          <w:rFonts w:ascii="Times New Roman" w:hAnsi="Times New Roman" w:cs="Times New Roman"/>
        </w:rPr>
        <w:t xml:space="preserve"> </w:t>
      </w:r>
      <w:r w:rsidR="003152BB">
        <w:rPr>
          <w:rFonts w:ascii="Times New Roman" w:hAnsi="Times New Roman" w:cs="Times New Roman"/>
        </w:rPr>
        <w:t xml:space="preserve">oporu v rozhodování na základě vědeckých důkazů. Sama jsem po letech geriatrické praxe překvapená, že </w:t>
      </w:r>
      <w:r w:rsidR="004F553D">
        <w:rPr>
          <w:rFonts w:ascii="Times New Roman" w:hAnsi="Times New Roman" w:cs="Times New Roman"/>
        </w:rPr>
        <w:t>i u velmi starých pacientů ve věkové skupině nad 85 let s komplexními zdravotními problémy dokládá MPI u některých léčiv vliv na prodloužení života. U mnoha z nich bychom bez těchto znalostí nad zahájením léčby dlouho váhali. Navíc pro lékaře je kalkulátor pro výpočet MPI indexu volně k dispozici na webových stránkách projektu.</w:t>
      </w:r>
      <w:r w:rsidR="003152BB">
        <w:rPr>
          <w:rFonts w:ascii="Times New Roman" w:hAnsi="Times New Roman" w:cs="Times New Roman"/>
        </w:rPr>
        <w:t>“ říká přednostka Geriatrické kliniky 1. L</w:t>
      </w:r>
      <w:r w:rsidR="009B688C">
        <w:rPr>
          <w:rFonts w:ascii="Times New Roman" w:hAnsi="Times New Roman" w:cs="Times New Roman"/>
        </w:rPr>
        <w:t>F</w:t>
      </w:r>
      <w:r w:rsidR="003152BB">
        <w:rPr>
          <w:rFonts w:ascii="Times New Roman" w:hAnsi="Times New Roman" w:cs="Times New Roman"/>
        </w:rPr>
        <w:t xml:space="preserve"> UK a VFN prof. MUDr. Eva Topinková, CSc.</w:t>
      </w:r>
      <w:r w:rsidR="002E03DC">
        <w:rPr>
          <w:rFonts w:ascii="Times New Roman" w:hAnsi="Times New Roman" w:cs="Times New Roman"/>
        </w:rPr>
        <w:t xml:space="preserve"> </w:t>
      </w:r>
    </w:p>
    <w:p w14:paraId="501EA93C" w14:textId="77777777" w:rsidR="002F2891" w:rsidRDefault="002F2891" w:rsidP="002E03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34F44CE" w14:textId="2F65ABEA" w:rsidR="00DE3013" w:rsidRDefault="002E03DC" w:rsidP="002E03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příklad uvádí dosavadní </w:t>
      </w:r>
      <w:r w:rsidR="0043457D">
        <w:rPr>
          <w:rFonts w:ascii="Times New Roman" w:hAnsi="Times New Roman" w:cs="Times New Roman"/>
        </w:rPr>
        <w:t>p</w:t>
      </w:r>
      <w:r w:rsidR="00DE3013">
        <w:rPr>
          <w:rFonts w:ascii="Times New Roman" w:hAnsi="Times New Roman" w:cs="Times New Roman"/>
        </w:rPr>
        <w:t xml:space="preserve">raxi </w:t>
      </w:r>
      <w:r>
        <w:rPr>
          <w:rFonts w:ascii="Times New Roman" w:hAnsi="Times New Roman" w:cs="Times New Roman"/>
        </w:rPr>
        <w:t xml:space="preserve">při podávání </w:t>
      </w:r>
      <w:r w:rsidR="009B688C">
        <w:rPr>
          <w:rFonts w:ascii="Times New Roman" w:hAnsi="Times New Roman" w:cs="Times New Roman"/>
        </w:rPr>
        <w:t>antikoagulačních léků</w:t>
      </w:r>
      <w:r w:rsidR="004F553D">
        <w:rPr>
          <w:rFonts w:ascii="Times New Roman" w:hAnsi="Times New Roman" w:cs="Times New Roman"/>
        </w:rPr>
        <w:t xml:space="preserve"> u poruch srdečn</w:t>
      </w:r>
      <w:r w:rsidR="00895E1A">
        <w:rPr>
          <w:rFonts w:ascii="Times New Roman" w:hAnsi="Times New Roman" w:cs="Times New Roman"/>
        </w:rPr>
        <w:t>í</w:t>
      </w:r>
      <w:r w:rsidR="004F553D">
        <w:rPr>
          <w:rFonts w:ascii="Times New Roman" w:hAnsi="Times New Roman" w:cs="Times New Roman"/>
        </w:rPr>
        <w:t>ho rytmu</w:t>
      </w:r>
      <w:r>
        <w:rPr>
          <w:rFonts w:ascii="Times New Roman" w:hAnsi="Times New Roman" w:cs="Times New Roman"/>
        </w:rPr>
        <w:t xml:space="preserve">. </w:t>
      </w:r>
      <w:r w:rsidR="00DE3013">
        <w:rPr>
          <w:rFonts w:ascii="Times New Roman" w:hAnsi="Times New Roman" w:cs="Times New Roman"/>
        </w:rPr>
        <w:t>„</w:t>
      </w:r>
      <w:r w:rsidR="004A73FF" w:rsidRPr="00F66C94">
        <w:rPr>
          <w:rFonts w:ascii="Times New Roman" w:hAnsi="Times New Roman" w:cs="Times New Roman"/>
        </w:rPr>
        <w:t xml:space="preserve">U </w:t>
      </w:r>
      <w:r w:rsidR="00895E1A">
        <w:rPr>
          <w:rFonts w:ascii="Times New Roman" w:hAnsi="Times New Roman" w:cs="Times New Roman"/>
        </w:rPr>
        <w:t>starých pacientů</w:t>
      </w:r>
      <w:r w:rsidR="004A73FF" w:rsidRPr="00F66C94">
        <w:rPr>
          <w:rFonts w:ascii="Times New Roman" w:hAnsi="Times New Roman" w:cs="Times New Roman"/>
        </w:rPr>
        <w:t xml:space="preserve"> lékaři </w:t>
      </w:r>
      <w:r w:rsidR="009B688C">
        <w:rPr>
          <w:rFonts w:ascii="Times New Roman" w:hAnsi="Times New Roman" w:cs="Times New Roman"/>
        </w:rPr>
        <w:t>‚</w:t>
      </w:r>
      <w:r w:rsidR="004A73FF" w:rsidRPr="00F66C94">
        <w:rPr>
          <w:rFonts w:ascii="Times New Roman" w:hAnsi="Times New Roman" w:cs="Times New Roman"/>
        </w:rPr>
        <w:t>intuitivně</w:t>
      </w:r>
      <w:r w:rsidR="009B688C">
        <w:rPr>
          <w:rFonts w:ascii="Times New Roman" w:hAnsi="Times New Roman" w:cs="Times New Roman"/>
        </w:rPr>
        <w:t>‘</w:t>
      </w:r>
      <w:r w:rsidR="004A73FF" w:rsidRPr="00F66C94">
        <w:rPr>
          <w:rFonts w:ascii="Times New Roman" w:hAnsi="Times New Roman" w:cs="Times New Roman"/>
        </w:rPr>
        <w:t xml:space="preserve"> omezují podání antikoagulační léčby při fibri</w:t>
      </w:r>
      <w:r w:rsidR="00AC2402">
        <w:rPr>
          <w:rFonts w:ascii="Times New Roman" w:hAnsi="Times New Roman" w:cs="Times New Roman"/>
        </w:rPr>
        <w:t xml:space="preserve">laci síní u rizikových pacientů, kteří jsou </w:t>
      </w:r>
      <w:r w:rsidR="00DE3013">
        <w:rPr>
          <w:rFonts w:ascii="Times New Roman" w:hAnsi="Times New Roman" w:cs="Times New Roman"/>
        </w:rPr>
        <w:t xml:space="preserve">indexem </w:t>
      </w:r>
      <w:r w:rsidR="004A73FF" w:rsidRPr="00F66C94">
        <w:rPr>
          <w:rFonts w:ascii="Times New Roman" w:hAnsi="Times New Roman" w:cs="Times New Roman"/>
        </w:rPr>
        <w:t xml:space="preserve">MPI </w:t>
      </w:r>
      <w:r w:rsidR="00AC2402">
        <w:rPr>
          <w:rFonts w:ascii="Times New Roman" w:hAnsi="Times New Roman" w:cs="Times New Roman"/>
        </w:rPr>
        <w:t xml:space="preserve">zařazeni do </w:t>
      </w:r>
      <w:r w:rsidR="004A73FF" w:rsidRPr="00F66C94">
        <w:rPr>
          <w:rFonts w:ascii="Times New Roman" w:hAnsi="Times New Roman" w:cs="Times New Roman"/>
        </w:rPr>
        <w:t>skupin</w:t>
      </w:r>
      <w:r w:rsidR="00AC2402">
        <w:rPr>
          <w:rFonts w:ascii="Times New Roman" w:hAnsi="Times New Roman" w:cs="Times New Roman"/>
        </w:rPr>
        <w:t xml:space="preserve">y </w:t>
      </w:r>
      <w:r w:rsidR="004A73FF" w:rsidRPr="00F66C94">
        <w:rPr>
          <w:rFonts w:ascii="Times New Roman" w:hAnsi="Times New Roman" w:cs="Times New Roman"/>
        </w:rPr>
        <w:t xml:space="preserve">křehkých. </w:t>
      </w:r>
      <w:r w:rsidR="00895E1A">
        <w:rPr>
          <w:rFonts w:ascii="Times New Roman" w:hAnsi="Times New Roman" w:cs="Times New Roman"/>
        </w:rPr>
        <w:t>Naše s</w:t>
      </w:r>
      <w:r w:rsidR="004A73FF" w:rsidRPr="00F66C94">
        <w:rPr>
          <w:rFonts w:ascii="Times New Roman" w:hAnsi="Times New Roman" w:cs="Times New Roman"/>
        </w:rPr>
        <w:t xml:space="preserve">tudie však potvrdila, že riziko úmrtí v následujících 2 letech bylo při podávání </w:t>
      </w:r>
      <w:proofErr w:type="spellStart"/>
      <w:r w:rsidR="004A73FF" w:rsidRPr="00F66C94">
        <w:rPr>
          <w:rFonts w:ascii="Times New Roman" w:hAnsi="Times New Roman" w:cs="Times New Roman"/>
        </w:rPr>
        <w:t>warfarinu</w:t>
      </w:r>
      <w:proofErr w:type="spellEnd"/>
      <w:r w:rsidR="00895E1A">
        <w:rPr>
          <w:rFonts w:ascii="Times New Roman" w:hAnsi="Times New Roman" w:cs="Times New Roman"/>
        </w:rPr>
        <w:t xml:space="preserve"> (léku na ředění krve)</w:t>
      </w:r>
      <w:r w:rsidR="004A73FF" w:rsidRPr="00F66C94">
        <w:rPr>
          <w:rFonts w:ascii="Times New Roman" w:hAnsi="Times New Roman" w:cs="Times New Roman"/>
        </w:rPr>
        <w:t xml:space="preserve"> sníženo o 32</w:t>
      </w:r>
      <w:r w:rsidR="009B688C">
        <w:rPr>
          <w:rFonts w:ascii="Times New Roman" w:hAnsi="Times New Roman" w:cs="Times New Roman"/>
        </w:rPr>
        <w:t xml:space="preserve"> </w:t>
      </w:r>
      <w:r w:rsidR="004A73FF" w:rsidRPr="00F66C94">
        <w:rPr>
          <w:rFonts w:ascii="Times New Roman" w:hAnsi="Times New Roman" w:cs="Times New Roman"/>
        </w:rPr>
        <w:t>% u robustních, 36</w:t>
      </w:r>
      <w:r w:rsidR="009B688C">
        <w:rPr>
          <w:rFonts w:ascii="Times New Roman" w:hAnsi="Times New Roman" w:cs="Times New Roman"/>
        </w:rPr>
        <w:t xml:space="preserve"> </w:t>
      </w:r>
      <w:r w:rsidR="004A73FF" w:rsidRPr="00F66C94">
        <w:rPr>
          <w:rFonts w:ascii="Times New Roman" w:hAnsi="Times New Roman" w:cs="Times New Roman"/>
        </w:rPr>
        <w:t xml:space="preserve">% u </w:t>
      </w:r>
      <w:r w:rsidR="00DE3013">
        <w:rPr>
          <w:rFonts w:ascii="Times New Roman" w:hAnsi="Times New Roman" w:cs="Times New Roman"/>
        </w:rPr>
        <w:t xml:space="preserve">křehkostí ohrožených </w:t>
      </w:r>
      <w:r w:rsidR="004A73FF" w:rsidRPr="00F66C94">
        <w:rPr>
          <w:rFonts w:ascii="Times New Roman" w:hAnsi="Times New Roman" w:cs="Times New Roman"/>
        </w:rPr>
        <w:t>a d</w:t>
      </w:r>
      <w:r w:rsidR="00DE3013">
        <w:rPr>
          <w:rFonts w:ascii="Times New Roman" w:hAnsi="Times New Roman" w:cs="Times New Roman"/>
        </w:rPr>
        <w:t>okonce o 45</w:t>
      </w:r>
      <w:r w:rsidR="009B688C">
        <w:rPr>
          <w:rFonts w:ascii="Times New Roman" w:hAnsi="Times New Roman" w:cs="Times New Roman"/>
        </w:rPr>
        <w:t xml:space="preserve"> </w:t>
      </w:r>
      <w:r w:rsidR="00DE3013">
        <w:rPr>
          <w:rFonts w:ascii="Times New Roman" w:hAnsi="Times New Roman" w:cs="Times New Roman"/>
        </w:rPr>
        <w:t>% u křehkých seniorů,“ popisuje prof. Topinková</w:t>
      </w:r>
      <w:r w:rsidR="001F5E16">
        <w:rPr>
          <w:rFonts w:ascii="Times New Roman" w:hAnsi="Times New Roman" w:cs="Times New Roman"/>
        </w:rPr>
        <w:t xml:space="preserve"> nečekané benefity </w:t>
      </w:r>
      <w:r w:rsidR="00DE3013">
        <w:rPr>
          <w:rFonts w:ascii="Times New Roman" w:hAnsi="Times New Roman" w:cs="Times New Roman"/>
        </w:rPr>
        <w:t>pacientů</w:t>
      </w:r>
      <w:r w:rsidR="001F5E16">
        <w:rPr>
          <w:rFonts w:ascii="Times New Roman" w:hAnsi="Times New Roman" w:cs="Times New Roman"/>
        </w:rPr>
        <w:t xml:space="preserve">, u nichž se doposud od léčby v takovém stadiu </w:t>
      </w:r>
      <w:r w:rsidR="00A10842">
        <w:rPr>
          <w:rFonts w:ascii="Times New Roman" w:hAnsi="Times New Roman" w:cs="Times New Roman"/>
        </w:rPr>
        <w:t xml:space="preserve">často </w:t>
      </w:r>
      <w:r w:rsidR="001F5E16">
        <w:rPr>
          <w:rFonts w:ascii="Times New Roman" w:hAnsi="Times New Roman" w:cs="Times New Roman"/>
        </w:rPr>
        <w:t>upouštělo</w:t>
      </w:r>
      <w:r w:rsidR="00DE3013">
        <w:rPr>
          <w:rFonts w:ascii="Times New Roman" w:hAnsi="Times New Roman" w:cs="Times New Roman"/>
        </w:rPr>
        <w:t xml:space="preserve">. </w:t>
      </w:r>
    </w:p>
    <w:p w14:paraId="530F5CCA" w14:textId="77777777" w:rsidR="00DE3013" w:rsidRPr="00F66C94" w:rsidRDefault="00DE3013" w:rsidP="002E03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F6795F1" w14:textId="6701651F" w:rsidR="0064787E" w:rsidRDefault="00DE3013" w:rsidP="00686584">
      <w:pPr>
        <w:rPr>
          <w:rFonts w:ascii="Times New Roman" w:hAnsi="Times New Roman" w:cs="Times New Roman"/>
        </w:rPr>
      </w:pPr>
      <w:r w:rsidRPr="00C028BA">
        <w:rPr>
          <w:rFonts w:ascii="Times New Roman" w:hAnsi="Times New Roman" w:cs="Times New Roman"/>
          <w:b/>
        </w:rPr>
        <w:t>Nákladná léčba</w:t>
      </w:r>
      <w:r>
        <w:rPr>
          <w:rFonts w:ascii="Times New Roman" w:hAnsi="Times New Roman" w:cs="Times New Roman"/>
          <w:b/>
        </w:rPr>
        <w:t xml:space="preserve"> bez efektu </w:t>
      </w:r>
      <w:proofErr w:type="gramStart"/>
      <w:r w:rsidRPr="00C028BA">
        <w:rPr>
          <w:rFonts w:ascii="Times New Roman" w:hAnsi="Times New Roman" w:cs="Times New Roman"/>
          <w:b/>
        </w:rPr>
        <w:t>bude</w:t>
      </w:r>
      <w:proofErr w:type="gramEnd"/>
      <w:r w:rsidRPr="00C028BA">
        <w:rPr>
          <w:rFonts w:ascii="Times New Roman" w:hAnsi="Times New Roman" w:cs="Times New Roman"/>
          <w:b/>
        </w:rPr>
        <w:t xml:space="preserve"> minulostí</w:t>
      </w:r>
      <w:r w:rsidR="00AC2402">
        <w:rPr>
          <w:rFonts w:ascii="Times New Roman" w:hAnsi="Times New Roman" w:cs="Times New Roman"/>
          <w:b/>
        </w:rPr>
        <w:br/>
      </w:r>
      <w:r w:rsidR="00686584" w:rsidRPr="00F66C94">
        <w:rPr>
          <w:rFonts w:ascii="Times New Roman" w:hAnsi="Times New Roman" w:cs="Times New Roman"/>
        </w:rPr>
        <w:t xml:space="preserve">Obor geriatrie </w:t>
      </w:r>
      <w:proofErr w:type="gramStart"/>
      <w:r w:rsidR="00686584" w:rsidRPr="00F66C94">
        <w:rPr>
          <w:rFonts w:ascii="Times New Roman" w:hAnsi="Times New Roman" w:cs="Times New Roman"/>
        </w:rPr>
        <w:t>přinesl</w:t>
      </w:r>
      <w:proofErr w:type="gramEnd"/>
      <w:r w:rsidR="00686584" w:rsidRPr="00F66C94">
        <w:rPr>
          <w:rFonts w:ascii="Times New Roman" w:hAnsi="Times New Roman" w:cs="Times New Roman"/>
        </w:rPr>
        <w:t xml:space="preserve"> </w:t>
      </w:r>
      <w:r w:rsidR="004A73FF">
        <w:rPr>
          <w:rFonts w:ascii="Times New Roman" w:hAnsi="Times New Roman" w:cs="Times New Roman"/>
        </w:rPr>
        <w:t>lékařům všech odborností řa</w:t>
      </w:r>
      <w:r w:rsidR="00686584" w:rsidRPr="00F66C94">
        <w:rPr>
          <w:rFonts w:ascii="Times New Roman" w:hAnsi="Times New Roman" w:cs="Times New Roman"/>
        </w:rPr>
        <w:t xml:space="preserve">du </w:t>
      </w:r>
      <w:r w:rsidR="004A73FF">
        <w:rPr>
          <w:rFonts w:ascii="Times New Roman" w:hAnsi="Times New Roman" w:cs="Times New Roman"/>
        </w:rPr>
        <w:t xml:space="preserve">nástrojů </w:t>
      </w:r>
      <w:r w:rsidR="00686584" w:rsidRPr="00F66C94">
        <w:rPr>
          <w:rFonts w:ascii="Times New Roman" w:hAnsi="Times New Roman" w:cs="Times New Roman"/>
        </w:rPr>
        <w:t xml:space="preserve">pro </w:t>
      </w:r>
      <w:r w:rsidR="004A73FF" w:rsidRPr="00F66C94">
        <w:rPr>
          <w:rFonts w:ascii="Times New Roman" w:hAnsi="Times New Roman" w:cs="Times New Roman"/>
        </w:rPr>
        <w:t>komplexní</w:t>
      </w:r>
      <w:r w:rsidR="004A73FF">
        <w:rPr>
          <w:rFonts w:ascii="Times New Roman" w:hAnsi="Times New Roman" w:cs="Times New Roman"/>
        </w:rPr>
        <w:t xml:space="preserve"> </w:t>
      </w:r>
      <w:r w:rsidR="004A73FF" w:rsidRPr="00F66C94">
        <w:rPr>
          <w:rFonts w:ascii="Times New Roman" w:hAnsi="Times New Roman" w:cs="Times New Roman"/>
        </w:rPr>
        <w:t xml:space="preserve">(geriatrické) posouzení seniora </w:t>
      </w:r>
      <w:r w:rsidR="004A73FF">
        <w:rPr>
          <w:rFonts w:ascii="Times New Roman" w:hAnsi="Times New Roman" w:cs="Times New Roman"/>
        </w:rPr>
        <w:t>– v oblasti křehkosti, výživy, sebeobslu</w:t>
      </w:r>
      <w:r w:rsidR="00A10842">
        <w:rPr>
          <w:rFonts w:ascii="Times New Roman" w:hAnsi="Times New Roman" w:cs="Times New Roman"/>
        </w:rPr>
        <w:t>hy</w:t>
      </w:r>
      <w:r w:rsidR="004A73FF">
        <w:rPr>
          <w:rFonts w:ascii="Times New Roman" w:hAnsi="Times New Roman" w:cs="Times New Roman"/>
        </w:rPr>
        <w:t xml:space="preserve"> či seznamů léků, které jsou ve stáří nevhodné </w:t>
      </w:r>
      <w:r w:rsidR="00A10842">
        <w:rPr>
          <w:rFonts w:ascii="Times New Roman" w:hAnsi="Times New Roman" w:cs="Times New Roman"/>
        </w:rPr>
        <w:t>pro vyšší riziko nežádoucích účinků</w:t>
      </w:r>
      <w:r w:rsidR="004A73FF">
        <w:rPr>
          <w:rFonts w:ascii="Times New Roman" w:hAnsi="Times New Roman" w:cs="Times New Roman"/>
        </w:rPr>
        <w:t>. Zejména větší nemocnice</w:t>
      </w:r>
      <w:r w:rsidR="003152BB">
        <w:rPr>
          <w:rFonts w:ascii="Times New Roman" w:hAnsi="Times New Roman" w:cs="Times New Roman"/>
        </w:rPr>
        <w:t xml:space="preserve"> posuzování </w:t>
      </w:r>
      <w:r w:rsidR="004A73FF">
        <w:rPr>
          <w:rFonts w:ascii="Times New Roman" w:hAnsi="Times New Roman" w:cs="Times New Roman"/>
        </w:rPr>
        <w:t>u komplikovaných geriatrických pacientů již využíva</w:t>
      </w:r>
      <w:r w:rsidR="002F2891">
        <w:rPr>
          <w:rFonts w:ascii="Times New Roman" w:hAnsi="Times New Roman" w:cs="Times New Roman"/>
        </w:rPr>
        <w:t>jí</w:t>
      </w:r>
      <w:r w:rsidR="004A73FF">
        <w:rPr>
          <w:rFonts w:ascii="Times New Roman" w:hAnsi="Times New Roman" w:cs="Times New Roman"/>
        </w:rPr>
        <w:t xml:space="preserve">, například před onkologickými, urologickými nebo kardiologickými zákroky. </w:t>
      </w:r>
      <w:r w:rsidR="002F2891">
        <w:rPr>
          <w:rFonts w:ascii="Times New Roman" w:hAnsi="Times New Roman" w:cs="Times New Roman"/>
        </w:rPr>
        <w:t>MPI index</w:t>
      </w:r>
      <w:r w:rsidR="001F5E16">
        <w:rPr>
          <w:rFonts w:ascii="Times New Roman" w:hAnsi="Times New Roman" w:cs="Times New Roman"/>
        </w:rPr>
        <w:t xml:space="preserve"> ale hodnocení </w:t>
      </w:r>
      <w:r w:rsidR="00A10842">
        <w:rPr>
          <w:rFonts w:ascii="Times New Roman" w:hAnsi="Times New Roman" w:cs="Times New Roman"/>
        </w:rPr>
        <w:t xml:space="preserve">standardizuje a </w:t>
      </w:r>
      <w:r w:rsidR="001F5E16">
        <w:rPr>
          <w:rFonts w:ascii="Times New Roman" w:hAnsi="Times New Roman" w:cs="Times New Roman"/>
        </w:rPr>
        <w:t xml:space="preserve">zpřesňuje a lze jej aplikovat bez ohledu na diagnózu. Navíc je vhodným nástrojem </w:t>
      </w:r>
      <w:r w:rsidR="00A10842">
        <w:rPr>
          <w:rFonts w:ascii="Times New Roman" w:hAnsi="Times New Roman" w:cs="Times New Roman"/>
        </w:rPr>
        <w:t xml:space="preserve">i </w:t>
      </w:r>
      <w:r w:rsidR="001F5E16">
        <w:rPr>
          <w:rFonts w:ascii="Times New Roman" w:hAnsi="Times New Roman" w:cs="Times New Roman"/>
        </w:rPr>
        <w:t xml:space="preserve">pro </w:t>
      </w:r>
      <w:r w:rsidR="002F2891">
        <w:rPr>
          <w:rFonts w:ascii="Times New Roman" w:hAnsi="Times New Roman" w:cs="Times New Roman"/>
        </w:rPr>
        <w:t xml:space="preserve">organizaci zdravotní péče. </w:t>
      </w:r>
      <w:r w:rsidR="002064AA">
        <w:rPr>
          <w:rFonts w:ascii="Times New Roman" w:hAnsi="Times New Roman" w:cs="Times New Roman"/>
        </w:rPr>
        <w:t>„</w:t>
      </w:r>
      <w:r w:rsidR="001F5E16">
        <w:rPr>
          <w:rFonts w:ascii="Times New Roman" w:hAnsi="Times New Roman" w:cs="Times New Roman"/>
        </w:rPr>
        <w:t xml:space="preserve">MPI </w:t>
      </w:r>
      <w:r w:rsidR="002064AA">
        <w:rPr>
          <w:rFonts w:ascii="Times New Roman" w:hAnsi="Times New Roman" w:cs="Times New Roman"/>
        </w:rPr>
        <w:t xml:space="preserve">neslouží k rozhodování jen klinikům, ale </w:t>
      </w:r>
      <w:r w:rsidR="00A10842">
        <w:rPr>
          <w:rFonts w:ascii="Times New Roman" w:hAnsi="Times New Roman" w:cs="Times New Roman"/>
        </w:rPr>
        <w:t>umožňuje i efektivnější využití omezených zdrojů ve zdravotnictví a lepší plánování zdravotní péče</w:t>
      </w:r>
      <w:r w:rsidR="00F24FC0">
        <w:rPr>
          <w:rFonts w:ascii="Times New Roman" w:hAnsi="Times New Roman" w:cs="Times New Roman"/>
        </w:rPr>
        <w:t>.</w:t>
      </w:r>
      <w:r w:rsidR="002F2891">
        <w:rPr>
          <w:rFonts w:ascii="Times New Roman" w:hAnsi="Times New Roman" w:cs="Times New Roman"/>
        </w:rPr>
        <w:t xml:space="preserve"> Pokud je například nákladná biologická léčba nasazena pacientům, kteří z ní neprofituj</w:t>
      </w:r>
      <w:r w:rsidR="00AF7B57">
        <w:rPr>
          <w:rFonts w:ascii="Times New Roman" w:hAnsi="Times New Roman" w:cs="Times New Roman"/>
        </w:rPr>
        <w:t xml:space="preserve">í, </w:t>
      </w:r>
      <w:r w:rsidR="002F2891">
        <w:rPr>
          <w:rFonts w:ascii="Times New Roman" w:hAnsi="Times New Roman" w:cs="Times New Roman"/>
        </w:rPr>
        <w:t xml:space="preserve">a </w:t>
      </w:r>
      <w:r w:rsidR="001F5E16">
        <w:rPr>
          <w:rFonts w:ascii="Times New Roman" w:hAnsi="Times New Roman" w:cs="Times New Roman"/>
        </w:rPr>
        <w:t xml:space="preserve">pouze je </w:t>
      </w:r>
      <w:r w:rsidR="002F2891">
        <w:rPr>
          <w:rFonts w:ascii="Times New Roman" w:hAnsi="Times New Roman" w:cs="Times New Roman"/>
        </w:rPr>
        <w:t>zatěžuj</w:t>
      </w:r>
      <w:r w:rsidR="00F24FC0">
        <w:rPr>
          <w:rFonts w:ascii="Times New Roman" w:hAnsi="Times New Roman" w:cs="Times New Roman"/>
        </w:rPr>
        <w:t>e</w:t>
      </w:r>
      <w:r w:rsidR="002F2891">
        <w:rPr>
          <w:rFonts w:ascii="Times New Roman" w:hAnsi="Times New Roman" w:cs="Times New Roman"/>
        </w:rPr>
        <w:t xml:space="preserve"> vedlejší</w:t>
      </w:r>
      <w:r w:rsidR="00F24FC0">
        <w:rPr>
          <w:rFonts w:ascii="Times New Roman" w:hAnsi="Times New Roman" w:cs="Times New Roman"/>
        </w:rPr>
        <w:t>mi</w:t>
      </w:r>
      <w:r w:rsidR="002F2891">
        <w:rPr>
          <w:rFonts w:ascii="Times New Roman" w:hAnsi="Times New Roman" w:cs="Times New Roman"/>
        </w:rPr>
        <w:t xml:space="preserve"> účinky, pomůže index MPI k racionálnímu rozhodnutí od léčby ustoupit, nebo ji vůbec nenasazovat, což vedle úspory přináší především zvýšení kvality v závěru života pacienta,“ uzavírá prof. </w:t>
      </w:r>
      <w:r w:rsidR="001F5E16">
        <w:rPr>
          <w:rFonts w:ascii="Times New Roman" w:hAnsi="Times New Roman" w:cs="Times New Roman"/>
        </w:rPr>
        <w:t xml:space="preserve">Eva </w:t>
      </w:r>
      <w:r w:rsidR="002F2891">
        <w:rPr>
          <w:rFonts w:ascii="Times New Roman" w:hAnsi="Times New Roman" w:cs="Times New Roman"/>
        </w:rPr>
        <w:t xml:space="preserve">Topinková. </w:t>
      </w:r>
    </w:p>
    <w:p w14:paraId="1E7E93F0" w14:textId="77777777" w:rsidR="006169B9" w:rsidRDefault="006169B9" w:rsidP="006169B9">
      <w:pPr>
        <w:rPr>
          <w:rFonts w:ascii="Times New Roman" w:hAnsi="Times New Roman" w:cs="Times New Roman"/>
        </w:rPr>
      </w:pPr>
    </w:p>
    <w:p w14:paraId="47DE50F6" w14:textId="77777777" w:rsidR="006169B9" w:rsidRDefault="006169B9" w:rsidP="006169B9">
      <w:pPr>
        <w:rPr>
          <w:rFonts w:ascii="Times New Roman" w:hAnsi="Times New Roman" w:cs="Times New Roman"/>
        </w:rPr>
      </w:pPr>
    </w:p>
    <w:p w14:paraId="556433BB" w14:textId="78FE1E53" w:rsidR="006169B9" w:rsidRPr="001F5E16" w:rsidRDefault="006169B9" w:rsidP="006169B9">
      <w:pPr>
        <w:rPr>
          <w:rFonts w:ascii="Times New Roman" w:hAnsi="Times New Roman" w:cs="Times New Roman"/>
          <w:color w:val="4472C4" w:themeColor="accent5"/>
        </w:rPr>
      </w:pPr>
      <w:r w:rsidRPr="00553914">
        <w:rPr>
          <w:rFonts w:ascii="Times New Roman" w:hAnsi="Times New Roman" w:cs="Times New Roman"/>
          <w:i/>
        </w:rPr>
        <w:t>Index lze stáhnout na stránkách projektu</w:t>
      </w:r>
      <w:r w:rsidRPr="00C014FD">
        <w:rPr>
          <w:rFonts w:ascii="Times New Roman" w:hAnsi="Times New Roman" w:cs="Times New Roman"/>
        </w:rPr>
        <w:t xml:space="preserve">: </w:t>
      </w:r>
      <w:hyperlink r:id="rId10" w:history="1">
        <w:r w:rsidRPr="001F5E16">
          <w:rPr>
            <w:rStyle w:val="Hypertextovodkaz"/>
            <w:rFonts w:ascii="Times New Roman" w:hAnsi="Times New Roman" w:cs="Times New Roman"/>
            <w:color w:val="4472C4" w:themeColor="accent5"/>
            <w:u w:val="none"/>
          </w:rPr>
          <w:t>www.mpiage.eu</w:t>
        </w:r>
      </w:hyperlink>
    </w:p>
    <w:bookmarkEnd w:id="0"/>
    <w:p w14:paraId="13EFE8E3" w14:textId="77777777" w:rsidR="00C014FD" w:rsidRDefault="00C014FD" w:rsidP="00C560F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B9348B5" w14:textId="77777777" w:rsidR="00C560FD" w:rsidRPr="00583650" w:rsidRDefault="00C560FD" w:rsidP="00C560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583650">
        <w:rPr>
          <w:rFonts w:ascii="Times New Roman" w:hAnsi="Times New Roman" w:cs="Times New Roman"/>
          <w:color w:val="000000"/>
        </w:rPr>
        <w:lastRenderedPageBreak/>
        <w:t>Kontakt na tiskovou mluvčí 1. LF UK:</w:t>
      </w:r>
    </w:p>
    <w:p w14:paraId="6C593512" w14:textId="77777777" w:rsidR="00C560FD" w:rsidRPr="00583650" w:rsidRDefault="00C560FD" w:rsidP="00C560F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583650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3555F444" w14:textId="77777777" w:rsidR="00C560FD" w:rsidRPr="00583650" w:rsidRDefault="00C560FD" w:rsidP="00C560F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583650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3D88B0F1" w14:textId="77777777" w:rsidR="00C560FD" w:rsidRPr="00583650" w:rsidRDefault="00965107" w:rsidP="00C560F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11" w:history="1">
        <w:r w:rsidR="00C560FD" w:rsidRPr="00583650">
          <w:rPr>
            <w:rStyle w:val="Hypertextovodkaz"/>
            <w:rFonts w:ascii="Times New Roman" w:eastAsiaTheme="minorEastAsia" w:hAnsi="Times New Roman" w:cs="Times New Roman"/>
            <w:noProof/>
            <w:color w:val="0563C1"/>
            <w:lang w:eastAsia="cs-CZ"/>
          </w:rPr>
          <w:t>petra.klusakova@lf1.cuni.cz</w:t>
        </w:r>
      </w:hyperlink>
      <w:r w:rsidR="00C560FD" w:rsidRPr="00583650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3FF8D808" w14:textId="77777777" w:rsidR="00C560FD" w:rsidRPr="00583650" w:rsidRDefault="00C560FD" w:rsidP="00C560FD">
      <w:pPr>
        <w:spacing w:after="0" w:line="240" w:lineRule="auto"/>
        <w:rPr>
          <w:rFonts w:ascii="Times New Roman" w:eastAsiaTheme="minorEastAsia" w:hAnsi="Times New Roman" w:cs="Times New Roman"/>
          <w:noProof/>
          <w:lang w:eastAsia="cs-CZ"/>
        </w:rPr>
      </w:pPr>
      <w:r w:rsidRPr="00583650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583650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583650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48847383" w14:textId="77777777" w:rsidR="00C560FD" w:rsidRPr="00583650" w:rsidRDefault="00C560FD" w:rsidP="00C560FD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583650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 xml:space="preserve">mob. </w:t>
      </w:r>
      <w:r w:rsidRPr="00583650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p w14:paraId="1C5042CE" w14:textId="77777777" w:rsidR="00C560FD" w:rsidRPr="00C36AEF" w:rsidRDefault="00C560FD">
      <w:pPr>
        <w:rPr>
          <w:rFonts w:ascii="Times New Roman" w:hAnsi="Times New Roman" w:cs="Times New Roman"/>
          <w:color w:val="5B9BD5" w:themeColor="accent1"/>
        </w:rPr>
      </w:pPr>
    </w:p>
    <w:p w14:paraId="2F55FCB2" w14:textId="77777777" w:rsidR="00C014FD" w:rsidRDefault="00C014FD" w:rsidP="00C560FD">
      <w:pPr>
        <w:spacing w:after="0" w:line="240" w:lineRule="auto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</w:p>
    <w:p w14:paraId="10CC08C4" w14:textId="77777777" w:rsidR="00C560FD" w:rsidRPr="001F1E83" w:rsidRDefault="00C560FD" w:rsidP="00C560FD">
      <w:pPr>
        <w:spacing w:after="0" w:line="240" w:lineRule="auto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1F1E83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O 1. lékařské fakultě Univerzity Karlovy</w:t>
      </w:r>
    </w:p>
    <w:p w14:paraId="7E790158" w14:textId="77777777" w:rsidR="00C560FD" w:rsidRPr="00583650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358B60" w14:textId="77777777" w:rsidR="00C560FD" w:rsidRPr="00583650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650">
        <w:rPr>
          <w:rFonts w:ascii="Times New Roman" w:hAnsi="Times New Roman" w:cs="Times New Roman"/>
          <w:i/>
          <w:sz w:val="24"/>
          <w:szCs w:val="24"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 celoživotní vzdělávání a řadu doktorských programů. Každoročně absolvuje 1. LF UK více než 300 nových lékařů. </w:t>
      </w:r>
    </w:p>
    <w:p w14:paraId="3830A5D6" w14:textId="77777777" w:rsidR="00C560FD" w:rsidRPr="00583650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650">
        <w:rPr>
          <w:rFonts w:ascii="Times New Roman" w:hAnsi="Times New Roman" w:cs="Times New Roman"/>
          <w:i/>
          <w:sz w:val="24"/>
          <w:szCs w:val="24"/>
        </w:rPr>
        <w:t>Fakulta je zároveň nejproduktivnější institucí v biomedicínském a klinickém výzkumu. Vědecká práce, pregraduální a postgraduální výuka se koná na 75 teoretických ústavech a klinických pracovištích společných se Všeobecnou fakultní nemocnicí, Fakultní nemocnicí v Motole, Ústřední vojenskou nemocnicí, Thomayerovou nemocnicí, Nemocnicí Na Bulovce i v dalších mezioborových centrech.</w:t>
      </w:r>
    </w:p>
    <w:p w14:paraId="3D56D2EB" w14:textId="77777777" w:rsidR="00C560FD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650">
        <w:rPr>
          <w:rFonts w:ascii="Times New Roman" w:hAnsi="Times New Roman" w:cs="Times New Roman"/>
          <w:i/>
          <w:sz w:val="24"/>
          <w:szCs w:val="24"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</w:p>
    <w:p w14:paraId="46E6597D" w14:textId="77777777" w:rsidR="00C560FD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03DB44" w14:textId="77777777" w:rsidR="00C560FD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FF84C9" w14:textId="77777777" w:rsidR="00C560FD" w:rsidRPr="001F1E83" w:rsidRDefault="00C560FD" w:rsidP="00C560FD">
      <w:pPr>
        <w:spacing w:after="0" w:line="240" w:lineRule="auto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1F1E83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O Všeobecné fakultní nemocnici v Praze</w:t>
      </w:r>
    </w:p>
    <w:p w14:paraId="1995FEFE" w14:textId="77777777" w:rsidR="00C560FD" w:rsidRPr="00583650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64264C" w14:textId="77777777" w:rsidR="00C560FD" w:rsidRPr="00583650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650">
        <w:rPr>
          <w:rFonts w:ascii="Times New Roman" w:hAnsi="Times New Roman" w:cs="Times New Roman"/>
          <w:i/>
          <w:sz w:val="24"/>
          <w:szCs w:val="24"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 diagnostickou péči dětem i dospělým ve všech základních oborech. Zajišťuje také komplexní lékárenskou péči, včetně technologicky náročných příprav cytostatik nebo sterilních léčivých přípravků.</w:t>
      </w:r>
    </w:p>
    <w:p w14:paraId="5F1E0B26" w14:textId="77777777" w:rsidR="00C560FD" w:rsidRPr="00583650" w:rsidRDefault="00C560FD" w:rsidP="00C560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3650">
        <w:rPr>
          <w:rFonts w:ascii="Times New Roman" w:hAnsi="Times New Roman" w:cs="Times New Roman"/>
          <w:i/>
          <w:sz w:val="24"/>
          <w:szCs w:val="24"/>
        </w:rPr>
        <w:t>Kromě poskytování zdravotní péče je VFN hlavní výukovou základnou 1. lékařské fakulty Univerzity Karlovy v Praze a současně jedním z nejvýznamnějších vědeckých pracovišť v oblasti léčebných a diagnostických metod v České republice. Nemocnice má nejdelší tradici akademické medicíny v ČR a od svého založení do současnosti je největším výzkumným medicínským pracovištěm v ČR.</w:t>
      </w:r>
    </w:p>
    <w:p w14:paraId="1E9E8CF8" w14:textId="77777777" w:rsidR="00C560FD" w:rsidRDefault="00C560FD">
      <w:pPr>
        <w:rPr>
          <w:rFonts w:ascii="Times New Roman" w:hAnsi="Times New Roman" w:cs="Times New Roman"/>
        </w:rPr>
      </w:pPr>
    </w:p>
    <w:p w14:paraId="4392C99B" w14:textId="77777777" w:rsidR="0091755E" w:rsidRDefault="0091755E">
      <w:pPr>
        <w:rPr>
          <w:rFonts w:ascii="Times New Roman" w:hAnsi="Times New Roman" w:cs="Times New Roman"/>
        </w:rPr>
      </w:pPr>
    </w:p>
    <w:p w14:paraId="714D0C08" w14:textId="77777777" w:rsidR="0091755E" w:rsidRPr="00F66C94" w:rsidRDefault="0091755E">
      <w:pPr>
        <w:rPr>
          <w:rFonts w:ascii="Times New Roman" w:hAnsi="Times New Roman" w:cs="Times New Roman"/>
        </w:rPr>
      </w:pPr>
    </w:p>
    <w:sectPr w:rsidR="0091755E" w:rsidRPr="00F6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3205F" w14:textId="77777777" w:rsidR="00965107" w:rsidRDefault="00965107" w:rsidP="00707448">
      <w:pPr>
        <w:spacing w:after="0" w:line="240" w:lineRule="auto"/>
      </w:pPr>
      <w:r>
        <w:separator/>
      </w:r>
    </w:p>
  </w:endnote>
  <w:endnote w:type="continuationSeparator" w:id="0">
    <w:p w14:paraId="0CA521C4" w14:textId="77777777" w:rsidR="00965107" w:rsidRDefault="00965107" w:rsidP="0070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53B4D" w14:textId="77777777" w:rsidR="00965107" w:rsidRDefault="00965107" w:rsidP="00707448">
      <w:pPr>
        <w:spacing w:after="0" w:line="240" w:lineRule="auto"/>
      </w:pPr>
      <w:r>
        <w:separator/>
      </w:r>
    </w:p>
  </w:footnote>
  <w:footnote w:type="continuationSeparator" w:id="0">
    <w:p w14:paraId="3E7CC17D" w14:textId="77777777" w:rsidR="00965107" w:rsidRDefault="00965107" w:rsidP="00707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91599"/>
    <w:multiLevelType w:val="hybridMultilevel"/>
    <w:tmpl w:val="3E0CD432"/>
    <w:lvl w:ilvl="0" w:tplc="880EF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F340E"/>
    <w:multiLevelType w:val="hybridMultilevel"/>
    <w:tmpl w:val="2D149F5E"/>
    <w:lvl w:ilvl="0" w:tplc="07325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91"/>
    <w:rsid w:val="000304C1"/>
    <w:rsid w:val="000358DC"/>
    <w:rsid w:val="000537FF"/>
    <w:rsid w:val="0006046F"/>
    <w:rsid w:val="00062D38"/>
    <w:rsid w:val="0006409B"/>
    <w:rsid w:val="00066F10"/>
    <w:rsid w:val="000834ED"/>
    <w:rsid w:val="00084A30"/>
    <w:rsid w:val="000A03FC"/>
    <w:rsid w:val="000B55A2"/>
    <w:rsid w:val="000F7011"/>
    <w:rsid w:val="001315CF"/>
    <w:rsid w:val="00133FEC"/>
    <w:rsid w:val="0014645F"/>
    <w:rsid w:val="00146F28"/>
    <w:rsid w:val="0014783B"/>
    <w:rsid w:val="0017788D"/>
    <w:rsid w:val="00185D29"/>
    <w:rsid w:val="001922C6"/>
    <w:rsid w:val="00192359"/>
    <w:rsid w:val="001B23A6"/>
    <w:rsid w:val="001D2695"/>
    <w:rsid w:val="001F5E16"/>
    <w:rsid w:val="00203F2C"/>
    <w:rsid w:val="002064AA"/>
    <w:rsid w:val="00224754"/>
    <w:rsid w:val="002624DB"/>
    <w:rsid w:val="00264D35"/>
    <w:rsid w:val="002833AE"/>
    <w:rsid w:val="00290B2D"/>
    <w:rsid w:val="002965DE"/>
    <w:rsid w:val="002C1749"/>
    <w:rsid w:val="002C4229"/>
    <w:rsid w:val="002C63AB"/>
    <w:rsid w:val="002D3012"/>
    <w:rsid w:val="002D66E9"/>
    <w:rsid w:val="002E03DC"/>
    <w:rsid w:val="002F2891"/>
    <w:rsid w:val="003036C7"/>
    <w:rsid w:val="0031012B"/>
    <w:rsid w:val="003152BB"/>
    <w:rsid w:val="003472F6"/>
    <w:rsid w:val="00353769"/>
    <w:rsid w:val="003967FC"/>
    <w:rsid w:val="003A2194"/>
    <w:rsid w:val="003E0A58"/>
    <w:rsid w:val="003E262D"/>
    <w:rsid w:val="00420E0A"/>
    <w:rsid w:val="0043457D"/>
    <w:rsid w:val="004359F2"/>
    <w:rsid w:val="00441BA6"/>
    <w:rsid w:val="004809D4"/>
    <w:rsid w:val="0049639D"/>
    <w:rsid w:val="004A3394"/>
    <w:rsid w:val="004A73FF"/>
    <w:rsid w:val="004B3EBA"/>
    <w:rsid w:val="004D43A3"/>
    <w:rsid w:val="004D5B57"/>
    <w:rsid w:val="004F553D"/>
    <w:rsid w:val="005235D0"/>
    <w:rsid w:val="00544BDE"/>
    <w:rsid w:val="00553914"/>
    <w:rsid w:val="00594667"/>
    <w:rsid w:val="005A2965"/>
    <w:rsid w:val="005C7D93"/>
    <w:rsid w:val="006169B9"/>
    <w:rsid w:val="00617F47"/>
    <w:rsid w:val="006412E2"/>
    <w:rsid w:val="006420A7"/>
    <w:rsid w:val="0064787E"/>
    <w:rsid w:val="0064796E"/>
    <w:rsid w:val="00654871"/>
    <w:rsid w:val="00671D35"/>
    <w:rsid w:val="00686584"/>
    <w:rsid w:val="00693748"/>
    <w:rsid w:val="006A1623"/>
    <w:rsid w:val="006A4078"/>
    <w:rsid w:val="006B39AB"/>
    <w:rsid w:val="006C502E"/>
    <w:rsid w:val="006E4D06"/>
    <w:rsid w:val="006F1366"/>
    <w:rsid w:val="00700DD8"/>
    <w:rsid w:val="007012A6"/>
    <w:rsid w:val="00707448"/>
    <w:rsid w:val="00720FDA"/>
    <w:rsid w:val="007512D9"/>
    <w:rsid w:val="00776AA1"/>
    <w:rsid w:val="00786810"/>
    <w:rsid w:val="00795397"/>
    <w:rsid w:val="007D21F5"/>
    <w:rsid w:val="00842AB8"/>
    <w:rsid w:val="008502FF"/>
    <w:rsid w:val="00871BDF"/>
    <w:rsid w:val="00895E1A"/>
    <w:rsid w:val="008E2D91"/>
    <w:rsid w:val="0091728D"/>
    <w:rsid w:val="0091755E"/>
    <w:rsid w:val="009358BC"/>
    <w:rsid w:val="009517B7"/>
    <w:rsid w:val="00960B68"/>
    <w:rsid w:val="00962952"/>
    <w:rsid w:val="00965107"/>
    <w:rsid w:val="00982C36"/>
    <w:rsid w:val="009A0094"/>
    <w:rsid w:val="009B688C"/>
    <w:rsid w:val="009D2AB5"/>
    <w:rsid w:val="009F31CD"/>
    <w:rsid w:val="00A10842"/>
    <w:rsid w:val="00A32F75"/>
    <w:rsid w:val="00A5233D"/>
    <w:rsid w:val="00A81B9C"/>
    <w:rsid w:val="00A832C5"/>
    <w:rsid w:val="00A92B67"/>
    <w:rsid w:val="00AC2402"/>
    <w:rsid w:val="00AF790E"/>
    <w:rsid w:val="00AF7B57"/>
    <w:rsid w:val="00B03F9B"/>
    <w:rsid w:val="00B30522"/>
    <w:rsid w:val="00B74299"/>
    <w:rsid w:val="00B93885"/>
    <w:rsid w:val="00BA023E"/>
    <w:rsid w:val="00C014FD"/>
    <w:rsid w:val="00C028BA"/>
    <w:rsid w:val="00C16FB6"/>
    <w:rsid w:val="00C217FC"/>
    <w:rsid w:val="00C35E2C"/>
    <w:rsid w:val="00C36AEF"/>
    <w:rsid w:val="00C560FD"/>
    <w:rsid w:val="00C80B35"/>
    <w:rsid w:val="00CA0881"/>
    <w:rsid w:val="00CD66C6"/>
    <w:rsid w:val="00CD7411"/>
    <w:rsid w:val="00CE6ABC"/>
    <w:rsid w:val="00D0369F"/>
    <w:rsid w:val="00D0746C"/>
    <w:rsid w:val="00D37521"/>
    <w:rsid w:val="00D6338A"/>
    <w:rsid w:val="00D7561F"/>
    <w:rsid w:val="00DC7D7F"/>
    <w:rsid w:val="00DE3013"/>
    <w:rsid w:val="00E14DF7"/>
    <w:rsid w:val="00E740AA"/>
    <w:rsid w:val="00E93A20"/>
    <w:rsid w:val="00EC1C9F"/>
    <w:rsid w:val="00EF1180"/>
    <w:rsid w:val="00F14357"/>
    <w:rsid w:val="00F174E4"/>
    <w:rsid w:val="00F24FC0"/>
    <w:rsid w:val="00F30E0E"/>
    <w:rsid w:val="00F30FBC"/>
    <w:rsid w:val="00F37B6B"/>
    <w:rsid w:val="00F402AB"/>
    <w:rsid w:val="00F4208E"/>
    <w:rsid w:val="00F43565"/>
    <w:rsid w:val="00F66C94"/>
    <w:rsid w:val="00F83D86"/>
    <w:rsid w:val="00F933AA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0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C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C9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658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5E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8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88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C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C9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658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5E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8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8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a.klusakova@lf1.cu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iag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dcterms:created xsi:type="dcterms:W3CDTF">2017-07-31T11:07:00Z</dcterms:created>
  <dcterms:modified xsi:type="dcterms:W3CDTF">2017-07-31T11:07:00Z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86723@vfn.cz</vt:lpwstr>
  </property>
  <property fmtid="{D5CDD505-2E9C-101B-9397-08002B2CF9AE}" pid="5" name="MSIP_Label_2063cd7f-2d21-486a-9f29-9c1683fdd175_DateCreated">
    <vt:lpwstr>2017-06-28T09:29:18.1436025+02:00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</Properties>
</file>