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375" w:rsidRPr="005670AE" w:rsidRDefault="005D1375" w:rsidP="005D1375">
      <w:pPr>
        <w:pStyle w:val="Nzev"/>
        <w:rPr>
          <w:rFonts w:asciiTheme="minorHAnsi" w:hAnsiTheme="minorHAnsi"/>
          <w:u w:val="single"/>
        </w:rPr>
      </w:pPr>
      <w:r w:rsidRPr="005670AE">
        <w:rPr>
          <w:rFonts w:asciiTheme="minorHAnsi" w:hAnsiTheme="minorHAnsi"/>
          <w:u w:val="single"/>
        </w:rPr>
        <w:t>Volitelné předměty (VP)</w:t>
      </w:r>
    </w:p>
    <w:p w:rsidR="005D1375" w:rsidRPr="00EE140C" w:rsidRDefault="005D1375" w:rsidP="005D1375"/>
    <w:p w:rsidR="005D1375" w:rsidRPr="004B0740" w:rsidRDefault="005D1375" w:rsidP="005D1375">
      <w:pPr>
        <w:jc w:val="both"/>
        <w:rPr>
          <w:rFonts w:ascii="Calibri" w:hAnsi="Calibri"/>
          <w:sz w:val="16"/>
          <w:szCs w:val="16"/>
        </w:rPr>
      </w:pPr>
    </w:p>
    <w:p w:rsidR="005D1375" w:rsidRDefault="005D1375" w:rsidP="005D1375">
      <w:pPr>
        <w:jc w:val="both"/>
        <w:rPr>
          <w:rFonts w:ascii="Calibri" w:hAnsi="Calibri"/>
        </w:rPr>
      </w:pPr>
      <w:r w:rsidRPr="002C0CD0">
        <w:rPr>
          <w:rFonts w:ascii="Calibri" w:hAnsi="Calibri"/>
        </w:rPr>
        <w:t>Od akad. roku 2006/07 si studenti v rámci kreditního systému musí zapisovat VP, aby dosáhli při řádném průběhu studia stanoveného počtu kreditů 60 (a více). Součet EC za povinné předměty je vždy nižší než 60. Dále kredity za VP umožňují i určitou rezervu pro dosažení aspoň minim</w:t>
      </w:r>
      <w:r>
        <w:rPr>
          <w:rFonts w:ascii="Calibri" w:hAnsi="Calibri"/>
        </w:rPr>
        <w:t>álního</w:t>
      </w:r>
      <w:r w:rsidRPr="002C0CD0">
        <w:rPr>
          <w:rFonts w:ascii="Calibri" w:hAnsi="Calibri"/>
        </w:rPr>
        <w:t xml:space="preserve"> počtu kreditů v případě nesplnění některého z předmětů povinných.</w:t>
      </w:r>
    </w:p>
    <w:p w:rsidR="005D1375" w:rsidRPr="002C0CD0" w:rsidRDefault="005D1375" w:rsidP="005D1375">
      <w:pPr>
        <w:jc w:val="both"/>
        <w:rPr>
          <w:rFonts w:ascii="Calibri" w:hAnsi="Calibri"/>
        </w:rPr>
      </w:pPr>
    </w:p>
    <w:p w:rsidR="005D1375" w:rsidRPr="004B0740" w:rsidRDefault="005D1375" w:rsidP="005D1375">
      <w:pPr>
        <w:rPr>
          <w:rFonts w:ascii="Calibri" w:hAnsi="Calibri"/>
          <w:sz w:val="16"/>
          <w:szCs w:val="16"/>
        </w:rPr>
      </w:pPr>
    </w:p>
    <w:p w:rsidR="005D1375" w:rsidRDefault="005D1375" w:rsidP="005D1375">
      <w:pPr>
        <w:rPr>
          <w:rFonts w:ascii="Calibri" w:hAnsi="Calibri"/>
          <w:u w:val="single"/>
        </w:rPr>
      </w:pPr>
      <w:r w:rsidRPr="002C0CD0">
        <w:rPr>
          <w:rFonts w:ascii="Calibri" w:hAnsi="Calibri"/>
          <w:u w:val="single"/>
        </w:rPr>
        <w:t>Analýza VP:</w:t>
      </w:r>
    </w:p>
    <w:p w:rsidR="005D1375" w:rsidRPr="004B0740" w:rsidRDefault="005D1375" w:rsidP="005D1375">
      <w:pPr>
        <w:spacing w:after="120"/>
        <w:rPr>
          <w:rFonts w:ascii="Calibri" w:hAnsi="Calibri"/>
          <w:sz w:val="16"/>
          <w:szCs w:val="16"/>
        </w:rPr>
      </w:pPr>
    </w:p>
    <w:tbl>
      <w:tblPr>
        <w:tblW w:w="9124" w:type="dxa"/>
        <w:tblInd w:w="80" w:type="dxa"/>
        <w:tblCellMar>
          <w:left w:w="70" w:type="dxa"/>
          <w:right w:w="70" w:type="dxa"/>
        </w:tblCellMar>
        <w:tblLook w:val="04A0" w:firstRow="1" w:lastRow="0" w:firstColumn="1" w:lastColumn="0" w:noHBand="0" w:noVBand="1"/>
      </w:tblPr>
      <w:tblGrid>
        <w:gridCol w:w="2887"/>
        <w:gridCol w:w="1276"/>
        <w:gridCol w:w="1206"/>
        <w:gridCol w:w="1206"/>
        <w:gridCol w:w="1206"/>
        <w:gridCol w:w="1343"/>
      </w:tblGrid>
      <w:tr w:rsidR="00AB0C20" w:rsidRPr="007C3ACB" w:rsidTr="006026F8">
        <w:trPr>
          <w:trHeight w:val="630"/>
        </w:trPr>
        <w:tc>
          <w:tcPr>
            <w:tcW w:w="28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0C20" w:rsidRPr="007C3ACB" w:rsidRDefault="00AB0C20" w:rsidP="007C3ACB">
            <w:pPr>
              <w:rPr>
                <w:rFonts w:asciiTheme="minorHAnsi" w:hAnsiTheme="minorHAnsi"/>
                <w:b/>
                <w:bCs/>
                <w:color w:val="000000"/>
              </w:rPr>
            </w:pPr>
            <w:r w:rsidRPr="007C3ACB">
              <w:rPr>
                <w:rFonts w:asciiTheme="minorHAnsi" w:hAnsiTheme="minorHAnsi"/>
                <w:b/>
                <w:bCs/>
                <w:color w:val="000000"/>
              </w:rPr>
              <w:t>Celkový počet (</w:t>
            </w:r>
            <w:proofErr w:type="spellStart"/>
            <w:r w:rsidRPr="007C3ACB">
              <w:rPr>
                <w:rFonts w:asciiTheme="minorHAnsi" w:hAnsiTheme="minorHAnsi"/>
                <w:b/>
                <w:bCs/>
                <w:color w:val="000000"/>
              </w:rPr>
              <w:t>ČP+AP+nelékařské</w:t>
            </w:r>
            <w:proofErr w:type="spellEnd"/>
            <w:r w:rsidRPr="007C3ACB">
              <w:rPr>
                <w:rFonts w:asciiTheme="minorHAnsi" w:hAnsiTheme="minorHAnsi"/>
                <w:b/>
                <w:bCs/>
                <w:color w:val="000000"/>
              </w:rPr>
              <w:t xml:space="preserve"> obory)</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0C20" w:rsidRPr="007C3ACB" w:rsidRDefault="00AB0C20" w:rsidP="007C3ACB">
            <w:pPr>
              <w:rPr>
                <w:rFonts w:asciiTheme="minorHAnsi" w:hAnsiTheme="minorHAnsi"/>
                <w:color w:val="000000"/>
              </w:rPr>
            </w:pPr>
            <w:r w:rsidRPr="007C3ACB">
              <w:rPr>
                <w:rFonts w:asciiTheme="minorHAnsi" w:hAnsiTheme="minorHAnsi"/>
                <w:color w:val="000000"/>
              </w:rPr>
              <w:t>2017/2018</w:t>
            </w:r>
          </w:p>
        </w:tc>
        <w:tc>
          <w:tcPr>
            <w:tcW w:w="1206" w:type="dxa"/>
            <w:tcBorders>
              <w:top w:val="single" w:sz="8" w:space="0" w:color="auto"/>
              <w:left w:val="single" w:sz="4" w:space="0" w:color="auto"/>
              <w:bottom w:val="single" w:sz="4" w:space="0" w:color="auto"/>
              <w:right w:val="single" w:sz="8" w:space="0" w:color="auto"/>
            </w:tcBorders>
            <w:shd w:val="clear" w:color="auto" w:fill="auto"/>
            <w:vAlign w:val="center"/>
          </w:tcPr>
          <w:p w:rsidR="00AB0C20" w:rsidRPr="007C3ACB" w:rsidRDefault="00AB0C20" w:rsidP="007C3ACB">
            <w:pPr>
              <w:rPr>
                <w:rFonts w:asciiTheme="minorHAnsi" w:hAnsiTheme="minorHAnsi"/>
                <w:color w:val="000000"/>
              </w:rPr>
            </w:pPr>
            <w:r w:rsidRPr="007C3ACB">
              <w:rPr>
                <w:rFonts w:asciiTheme="minorHAnsi" w:hAnsiTheme="minorHAnsi"/>
                <w:color w:val="000000"/>
              </w:rPr>
              <w:t>2018/2019</w:t>
            </w:r>
          </w:p>
        </w:tc>
        <w:tc>
          <w:tcPr>
            <w:tcW w:w="1206" w:type="dxa"/>
            <w:tcBorders>
              <w:top w:val="single" w:sz="8" w:space="0" w:color="auto"/>
              <w:left w:val="single" w:sz="4" w:space="0" w:color="auto"/>
              <w:bottom w:val="single" w:sz="4" w:space="0" w:color="auto"/>
              <w:right w:val="single" w:sz="8" w:space="0" w:color="auto"/>
            </w:tcBorders>
            <w:vAlign w:val="center"/>
          </w:tcPr>
          <w:p w:rsidR="00AB0C20" w:rsidRPr="007C3ACB" w:rsidRDefault="00AB0C20" w:rsidP="007C3ACB">
            <w:pPr>
              <w:rPr>
                <w:rFonts w:asciiTheme="minorHAnsi" w:hAnsiTheme="minorHAnsi"/>
                <w:color w:val="000000"/>
              </w:rPr>
            </w:pPr>
            <w:r w:rsidRPr="007C3ACB">
              <w:rPr>
                <w:rFonts w:asciiTheme="minorHAnsi" w:hAnsiTheme="minorHAnsi"/>
                <w:color w:val="000000"/>
              </w:rPr>
              <w:t>2019/2020</w:t>
            </w:r>
          </w:p>
        </w:tc>
        <w:tc>
          <w:tcPr>
            <w:tcW w:w="1206" w:type="dxa"/>
            <w:tcBorders>
              <w:top w:val="single" w:sz="8" w:space="0" w:color="auto"/>
              <w:left w:val="single" w:sz="4" w:space="0" w:color="auto"/>
              <w:bottom w:val="single" w:sz="4" w:space="0" w:color="auto"/>
              <w:right w:val="single" w:sz="8" w:space="0" w:color="auto"/>
            </w:tcBorders>
          </w:tcPr>
          <w:p w:rsidR="00AB0C20" w:rsidRPr="007C3ACB" w:rsidRDefault="00AB0C20" w:rsidP="007C3ACB">
            <w:pPr>
              <w:jc w:val="both"/>
              <w:rPr>
                <w:rFonts w:asciiTheme="minorHAnsi" w:hAnsiTheme="minorHAnsi"/>
              </w:rPr>
            </w:pPr>
            <w:r w:rsidRPr="007C3ACB">
              <w:rPr>
                <w:rFonts w:asciiTheme="minorHAnsi" w:hAnsiTheme="minorHAnsi"/>
              </w:rPr>
              <w:t>20</w:t>
            </w:r>
            <w:r>
              <w:rPr>
                <w:rFonts w:asciiTheme="minorHAnsi" w:hAnsiTheme="minorHAnsi"/>
              </w:rPr>
              <w:t>20</w:t>
            </w:r>
            <w:r w:rsidRPr="007C3ACB">
              <w:rPr>
                <w:rFonts w:asciiTheme="minorHAnsi" w:hAnsiTheme="minorHAnsi"/>
              </w:rPr>
              <w:t>/202</w:t>
            </w:r>
            <w:r>
              <w:rPr>
                <w:rFonts w:asciiTheme="minorHAnsi" w:hAnsiTheme="minorHAnsi"/>
              </w:rPr>
              <w:t>1</w:t>
            </w:r>
          </w:p>
        </w:tc>
        <w:tc>
          <w:tcPr>
            <w:tcW w:w="1343" w:type="dxa"/>
            <w:tcBorders>
              <w:top w:val="single" w:sz="8" w:space="0" w:color="auto"/>
              <w:left w:val="single" w:sz="4" w:space="0" w:color="auto"/>
              <w:bottom w:val="single" w:sz="4" w:space="0" w:color="auto"/>
              <w:right w:val="single" w:sz="8" w:space="0" w:color="auto"/>
            </w:tcBorders>
          </w:tcPr>
          <w:p w:rsidR="00AB0C20" w:rsidRPr="007C3ACB" w:rsidRDefault="00AB0C20" w:rsidP="007C3ACB">
            <w:pPr>
              <w:jc w:val="both"/>
              <w:rPr>
                <w:rFonts w:asciiTheme="minorHAnsi" w:hAnsiTheme="minorHAnsi"/>
              </w:rPr>
            </w:pPr>
            <w:r>
              <w:rPr>
                <w:rFonts w:asciiTheme="minorHAnsi" w:hAnsiTheme="minorHAnsi"/>
              </w:rPr>
              <w:t>2021/2022</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Počet zapsaných studentů</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3812</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3735</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4062</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4074</w:t>
            </w:r>
          </w:p>
        </w:tc>
        <w:tc>
          <w:tcPr>
            <w:tcW w:w="1343" w:type="dxa"/>
            <w:tcBorders>
              <w:top w:val="nil"/>
              <w:left w:val="single" w:sz="4" w:space="0" w:color="auto"/>
              <w:bottom w:val="single" w:sz="4" w:space="0" w:color="auto"/>
              <w:right w:val="single" w:sz="8" w:space="0" w:color="auto"/>
            </w:tcBorders>
          </w:tcPr>
          <w:p w:rsidR="00AB0C20" w:rsidRPr="007C3ACB" w:rsidRDefault="00DB2F08" w:rsidP="006C46F0">
            <w:pPr>
              <w:jc w:val="center"/>
              <w:rPr>
                <w:rFonts w:asciiTheme="minorHAnsi" w:hAnsiTheme="minorHAnsi"/>
                <w:color w:val="000000"/>
              </w:rPr>
            </w:pPr>
            <w:r>
              <w:rPr>
                <w:rFonts w:asciiTheme="minorHAnsi" w:hAnsiTheme="minorHAnsi"/>
                <w:color w:val="000000"/>
              </w:rPr>
              <w:t>4333</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počet VP předmětů</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406</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405</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410</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384</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388</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max. počet studentů ZS+LS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12356</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12017</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12452</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11315</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11734</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počet zapsaných ZS+LS/%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0D3F4E">
            <w:pPr>
              <w:jc w:val="center"/>
              <w:rPr>
                <w:rFonts w:asciiTheme="minorHAnsi" w:hAnsiTheme="minorHAnsi"/>
                <w:color w:val="000000"/>
              </w:rPr>
            </w:pPr>
            <w:r w:rsidRPr="007C3ACB">
              <w:rPr>
                <w:rFonts w:asciiTheme="minorHAnsi" w:hAnsiTheme="minorHAnsi"/>
                <w:color w:val="000000" w:themeColor="text1"/>
              </w:rPr>
              <w:t>5071/</w:t>
            </w:r>
            <w:proofErr w:type="gramStart"/>
            <w:r w:rsidRPr="007C3ACB">
              <w:rPr>
                <w:rFonts w:asciiTheme="minorHAnsi" w:hAnsiTheme="minorHAnsi"/>
                <w:color w:val="000000" w:themeColor="text1"/>
              </w:rPr>
              <w:t>41%</w:t>
            </w:r>
            <w:proofErr w:type="gramEnd"/>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5884/</w:t>
            </w:r>
            <w:proofErr w:type="gramStart"/>
            <w:r w:rsidRPr="007C3ACB">
              <w:rPr>
                <w:rFonts w:asciiTheme="minorHAnsi" w:hAnsiTheme="minorHAnsi"/>
                <w:color w:val="000000"/>
              </w:rPr>
              <w:t>49%</w:t>
            </w:r>
            <w:proofErr w:type="gramEnd"/>
          </w:p>
        </w:tc>
        <w:tc>
          <w:tcPr>
            <w:tcW w:w="1206" w:type="dxa"/>
            <w:tcBorders>
              <w:top w:val="nil"/>
              <w:left w:val="single" w:sz="4" w:space="0" w:color="auto"/>
              <w:bottom w:val="single" w:sz="4" w:space="0" w:color="auto"/>
              <w:right w:val="single" w:sz="8" w:space="0" w:color="auto"/>
            </w:tcBorders>
          </w:tcPr>
          <w:p w:rsidR="00AB0C20" w:rsidRPr="007C3ACB" w:rsidRDefault="00AB0C20" w:rsidP="00497FFB">
            <w:pPr>
              <w:jc w:val="center"/>
              <w:rPr>
                <w:rFonts w:asciiTheme="minorHAnsi" w:hAnsiTheme="minorHAnsi"/>
                <w:color w:val="000000"/>
                <w:vertAlign w:val="subscript"/>
              </w:rPr>
            </w:pPr>
            <w:r w:rsidRPr="007C3ACB">
              <w:rPr>
                <w:rFonts w:asciiTheme="minorHAnsi" w:hAnsiTheme="minorHAnsi"/>
                <w:color w:val="000000"/>
              </w:rPr>
              <w:t>6676/</w:t>
            </w:r>
            <w:proofErr w:type="gramStart"/>
            <w:r w:rsidRPr="007C3ACB">
              <w:rPr>
                <w:rFonts w:asciiTheme="minorHAnsi" w:hAnsiTheme="minorHAnsi"/>
                <w:color w:val="000000"/>
              </w:rPr>
              <w:t>54%</w:t>
            </w:r>
            <w:proofErr w:type="gramEnd"/>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Pr>
                <w:rFonts w:asciiTheme="minorHAnsi" w:hAnsiTheme="minorHAnsi"/>
                <w:color w:val="000000"/>
              </w:rPr>
              <w:t>6557</w:t>
            </w:r>
            <w:r w:rsidR="006026F8">
              <w:rPr>
                <w:rFonts w:asciiTheme="minorHAnsi" w:hAnsiTheme="minorHAnsi"/>
                <w:color w:val="000000"/>
              </w:rPr>
              <w:t>/</w:t>
            </w:r>
            <w:proofErr w:type="gramStart"/>
            <w:r w:rsidR="006026F8">
              <w:rPr>
                <w:rFonts w:asciiTheme="minorHAnsi" w:hAnsiTheme="minorHAnsi"/>
                <w:color w:val="000000"/>
              </w:rPr>
              <w:t>58%</w:t>
            </w:r>
            <w:proofErr w:type="gramEnd"/>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Průměrná délka (sem.)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1,16</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1,16</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1,16</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1,15</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1,14</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Průměrné kredity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2,8</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2,76</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2,72</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2,76</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2,74</w:t>
            </w:r>
          </w:p>
        </w:tc>
      </w:tr>
      <w:tr w:rsidR="00AB0C20" w:rsidRPr="007C3ACB" w:rsidTr="006026F8">
        <w:trPr>
          <w:trHeight w:val="330"/>
        </w:trPr>
        <w:tc>
          <w:tcPr>
            <w:tcW w:w="2887" w:type="dxa"/>
            <w:tcBorders>
              <w:top w:val="nil"/>
              <w:left w:val="single" w:sz="8" w:space="0" w:color="auto"/>
              <w:bottom w:val="single" w:sz="8"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nesplněné VP/%</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AB0C20" w:rsidRPr="007C3ACB" w:rsidRDefault="00AB0C20" w:rsidP="000D3F4E">
            <w:pPr>
              <w:jc w:val="center"/>
              <w:rPr>
                <w:rFonts w:asciiTheme="minorHAnsi" w:hAnsiTheme="minorHAnsi"/>
                <w:color w:val="000000"/>
              </w:rPr>
            </w:pPr>
            <w:r w:rsidRPr="007C3ACB">
              <w:rPr>
                <w:rFonts w:asciiTheme="minorHAnsi" w:hAnsiTheme="minorHAnsi"/>
                <w:color w:val="000000" w:themeColor="text1"/>
              </w:rPr>
              <w:t>658/</w:t>
            </w:r>
            <w:proofErr w:type="gramStart"/>
            <w:r w:rsidRPr="007C3ACB">
              <w:rPr>
                <w:rFonts w:asciiTheme="minorHAnsi" w:hAnsiTheme="minorHAnsi"/>
                <w:color w:val="000000" w:themeColor="text1"/>
              </w:rPr>
              <w:t>13%</w:t>
            </w:r>
            <w:proofErr w:type="gramEnd"/>
          </w:p>
        </w:tc>
        <w:tc>
          <w:tcPr>
            <w:tcW w:w="1206" w:type="dxa"/>
            <w:tcBorders>
              <w:top w:val="nil"/>
              <w:left w:val="single" w:sz="4" w:space="0" w:color="auto"/>
              <w:bottom w:val="single" w:sz="8" w:space="0" w:color="auto"/>
              <w:right w:val="single" w:sz="8" w:space="0" w:color="auto"/>
            </w:tcBorders>
            <w:shd w:val="clear" w:color="auto" w:fill="auto"/>
            <w:vAlign w:val="bottom"/>
          </w:tcPr>
          <w:p w:rsidR="00AB0C20" w:rsidRPr="007C3ACB" w:rsidRDefault="00AB0C20" w:rsidP="003E4B9A">
            <w:pPr>
              <w:jc w:val="center"/>
              <w:rPr>
                <w:rFonts w:asciiTheme="minorHAnsi" w:hAnsiTheme="minorHAnsi"/>
                <w:color w:val="000000"/>
              </w:rPr>
            </w:pPr>
            <w:r w:rsidRPr="007C3ACB">
              <w:rPr>
                <w:rFonts w:asciiTheme="minorHAnsi" w:hAnsiTheme="minorHAnsi"/>
                <w:color w:val="000000"/>
              </w:rPr>
              <w:t>551/</w:t>
            </w:r>
            <w:proofErr w:type="gramStart"/>
            <w:r w:rsidRPr="007C3ACB">
              <w:rPr>
                <w:rFonts w:asciiTheme="minorHAnsi" w:hAnsiTheme="minorHAnsi"/>
                <w:color w:val="000000"/>
              </w:rPr>
              <w:t>9,4%</w:t>
            </w:r>
            <w:proofErr w:type="gramEnd"/>
          </w:p>
        </w:tc>
        <w:tc>
          <w:tcPr>
            <w:tcW w:w="1206" w:type="dxa"/>
            <w:tcBorders>
              <w:top w:val="nil"/>
              <w:left w:val="single" w:sz="4" w:space="0" w:color="auto"/>
              <w:bottom w:val="single" w:sz="8"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491/</w:t>
            </w:r>
            <w:proofErr w:type="gramStart"/>
            <w:r w:rsidRPr="007C3ACB">
              <w:rPr>
                <w:rFonts w:asciiTheme="minorHAnsi" w:hAnsiTheme="minorHAnsi"/>
                <w:color w:val="000000"/>
              </w:rPr>
              <w:t>7%</w:t>
            </w:r>
            <w:proofErr w:type="gramEnd"/>
          </w:p>
        </w:tc>
        <w:tc>
          <w:tcPr>
            <w:tcW w:w="1206" w:type="dxa"/>
            <w:tcBorders>
              <w:top w:val="nil"/>
              <w:left w:val="single" w:sz="4" w:space="0" w:color="auto"/>
              <w:bottom w:val="single" w:sz="8" w:space="0" w:color="auto"/>
              <w:right w:val="single" w:sz="8" w:space="0" w:color="auto"/>
            </w:tcBorders>
          </w:tcPr>
          <w:p w:rsidR="00AB0C20" w:rsidRPr="007C3ACB" w:rsidRDefault="00AB0C20" w:rsidP="006C46F0">
            <w:pPr>
              <w:jc w:val="center"/>
              <w:rPr>
                <w:rFonts w:asciiTheme="minorHAnsi" w:hAnsiTheme="minorHAnsi"/>
                <w:color w:val="000000"/>
              </w:rPr>
            </w:pPr>
            <w:r>
              <w:rPr>
                <w:rFonts w:asciiTheme="minorHAnsi" w:hAnsiTheme="minorHAnsi"/>
                <w:color w:val="000000"/>
              </w:rPr>
              <w:t>592/</w:t>
            </w:r>
            <w:proofErr w:type="gramStart"/>
            <w:r>
              <w:rPr>
                <w:rFonts w:asciiTheme="minorHAnsi" w:hAnsiTheme="minorHAnsi"/>
                <w:color w:val="000000"/>
              </w:rPr>
              <w:t>9%</w:t>
            </w:r>
            <w:proofErr w:type="gramEnd"/>
          </w:p>
        </w:tc>
        <w:tc>
          <w:tcPr>
            <w:tcW w:w="1343" w:type="dxa"/>
            <w:tcBorders>
              <w:top w:val="nil"/>
              <w:left w:val="single" w:sz="4" w:space="0" w:color="auto"/>
              <w:bottom w:val="single" w:sz="8"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w:t>
            </w:r>
          </w:p>
        </w:tc>
      </w:tr>
      <w:tr w:rsidR="00AB0C20" w:rsidRPr="007C3ACB" w:rsidTr="006026F8">
        <w:trPr>
          <w:trHeight w:val="315"/>
        </w:trPr>
        <w:tc>
          <w:tcPr>
            <w:tcW w:w="2887" w:type="dxa"/>
            <w:tcBorders>
              <w:top w:val="nil"/>
              <w:left w:val="nil"/>
              <w:bottom w:val="nil"/>
              <w:right w:val="nil"/>
            </w:tcBorders>
            <w:shd w:val="clear" w:color="auto" w:fill="auto"/>
            <w:noWrap/>
            <w:vAlign w:val="center"/>
            <w:hideMark/>
          </w:tcPr>
          <w:p w:rsidR="00AB0C20" w:rsidRPr="007C3ACB" w:rsidRDefault="00AB0C20" w:rsidP="006C46F0">
            <w:pPr>
              <w:jc w:val="center"/>
              <w:rPr>
                <w:rFonts w:asciiTheme="minorHAnsi" w:hAnsiTheme="minorHAnsi"/>
                <w:color w:val="000000"/>
              </w:rPr>
            </w:pPr>
          </w:p>
        </w:tc>
        <w:tc>
          <w:tcPr>
            <w:tcW w:w="1276" w:type="dxa"/>
            <w:tcBorders>
              <w:top w:val="nil"/>
              <w:left w:val="nil"/>
              <w:bottom w:val="nil"/>
              <w:right w:val="nil"/>
            </w:tcBorders>
            <w:shd w:val="clear" w:color="auto" w:fill="auto"/>
            <w:vAlign w:val="center"/>
            <w:hideMark/>
          </w:tcPr>
          <w:p w:rsidR="00AB0C20" w:rsidRPr="007C3ACB" w:rsidRDefault="00AB0C20" w:rsidP="006C46F0">
            <w:pPr>
              <w:jc w:val="center"/>
              <w:rPr>
                <w:rFonts w:asciiTheme="minorHAnsi" w:hAnsiTheme="minorHAnsi"/>
                <w:color w:val="000000"/>
              </w:rPr>
            </w:pPr>
          </w:p>
        </w:tc>
        <w:tc>
          <w:tcPr>
            <w:tcW w:w="1206" w:type="dxa"/>
            <w:tcBorders>
              <w:top w:val="nil"/>
              <w:left w:val="nil"/>
              <w:bottom w:val="nil"/>
              <w:right w:val="nil"/>
            </w:tcBorders>
            <w:shd w:val="clear" w:color="auto" w:fill="auto"/>
            <w:vAlign w:val="bottom"/>
          </w:tcPr>
          <w:p w:rsidR="00AB0C20" w:rsidRPr="007C3ACB" w:rsidRDefault="00AB0C20" w:rsidP="006C46F0">
            <w:pPr>
              <w:jc w:val="center"/>
              <w:rPr>
                <w:rFonts w:asciiTheme="minorHAnsi" w:hAnsiTheme="minorHAnsi"/>
                <w:color w:val="000000"/>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color w:val="000000"/>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color w:val="000000"/>
              </w:rPr>
            </w:pPr>
          </w:p>
        </w:tc>
        <w:tc>
          <w:tcPr>
            <w:tcW w:w="1343" w:type="dxa"/>
            <w:tcBorders>
              <w:top w:val="nil"/>
              <w:left w:val="nil"/>
              <w:bottom w:val="nil"/>
              <w:right w:val="nil"/>
            </w:tcBorders>
          </w:tcPr>
          <w:p w:rsidR="00AB0C20" w:rsidRPr="007C3ACB" w:rsidRDefault="00AB0C20" w:rsidP="006C46F0">
            <w:pPr>
              <w:jc w:val="center"/>
              <w:rPr>
                <w:rFonts w:asciiTheme="minorHAnsi" w:hAnsiTheme="minorHAnsi"/>
                <w:color w:val="000000"/>
              </w:rPr>
            </w:pPr>
          </w:p>
        </w:tc>
      </w:tr>
      <w:tr w:rsidR="00AB0C20" w:rsidRPr="007C3ACB" w:rsidTr="006026F8">
        <w:trPr>
          <w:trHeight w:val="315"/>
        </w:trPr>
        <w:tc>
          <w:tcPr>
            <w:tcW w:w="2887" w:type="dxa"/>
            <w:tcBorders>
              <w:top w:val="nil"/>
              <w:left w:val="nil"/>
              <w:bottom w:val="nil"/>
              <w:right w:val="nil"/>
            </w:tcBorders>
            <w:shd w:val="clear" w:color="auto" w:fill="auto"/>
            <w:noWrap/>
            <w:vAlign w:val="center"/>
            <w:hideMark/>
          </w:tcPr>
          <w:p w:rsidR="00AB0C20" w:rsidRPr="007C3ACB" w:rsidRDefault="00AB0C20" w:rsidP="006C46F0">
            <w:pPr>
              <w:rPr>
                <w:rFonts w:asciiTheme="minorHAnsi" w:hAnsiTheme="minorHAnsi"/>
                <w:b/>
                <w:bCs/>
                <w:color w:val="000000"/>
              </w:rPr>
            </w:pPr>
            <w:r w:rsidRPr="007C3ACB">
              <w:rPr>
                <w:rFonts w:asciiTheme="minorHAnsi" w:hAnsiTheme="minorHAnsi"/>
                <w:b/>
                <w:bCs/>
                <w:color w:val="000000"/>
              </w:rPr>
              <w:t>Z toho:</w:t>
            </w:r>
          </w:p>
        </w:tc>
        <w:tc>
          <w:tcPr>
            <w:tcW w:w="1276"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shd w:val="clear" w:color="auto" w:fill="auto"/>
            <w:vAlign w:val="bottom"/>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rPr>
            </w:pPr>
          </w:p>
        </w:tc>
        <w:tc>
          <w:tcPr>
            <w:tcW w:w="1343" w:type="dxa"/>
            <w:tcBorders>
              <w:top w:val="nil"/>
              <w:left w:val="nil"/>
              <w:bottom w:val="nil"/>
              <w:right w:val="nil"/>
            </w:tcBorders>
          </w:tcPr>
          <w:p w:rsidR="00AB0C20" w:rsidRPr="007C3ACB" w:rsidRDefault="00AB0C20" w:rsidP="006C46F0">
            <w:pPr>
              <w:jc w:val="center"/>
              <w:rPr>
                <w:rFonts w:asciiTheme="minorHAnsi" w:hAnsiTheme="minorHAnsi"/>
              </w:rPr>
            </w:pPr>
          </w:p>
        </w:tc>
      </w:tr>
      <w:tr w:rsidR="00AB0C20" w:rsidRPr="007C3ACB" w:rsidTr="006026F8">
        <w:trPr>
          <w:trHeight w:val="330"/>
        </w:trPr>
        <w:tc>
          <w:tcPr>
            <w:tcW w:w="2887"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rPr>
            </w:pPr>
          </w:p>
        </w:tc>
        <w:tc>
          <w:tcPr>
            <w:tcW w:w="1276"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shd w:val="clear" w:color="auto" w:fill="auto"/>
            <w:vAlign w:val="bottom"/>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rPr>
            </w:pPr>
          </w:p>
        </w:tc>
        <w:tc>
          <w:tcPr>
            <w:tcW w:w="1343" w:type="dxa"/>
            <w:tcBorders>
              <w:top w:val="nil"/>
              <w:left w:val="nil"/>
              <w:bottom w:val="nil"/>
              <w:right w:val="nil"/>
            </w:tcBorders>
          </w:tcPr>
          <w:p w:rsidR="00AB0C20" w:rsidRPr="007C3ACB" w:rsidRDefault="00AB0C20" w:rsidP="006C46F0">
            <w:pPr>
              <w:jc w:val="center"/>
              <w:rPr>
                <w:rFonts w:asciiTheme="minorHAnsi" w:hAnsiTheme="minorHAnsi"/>
              </w:rPr>
            </w:pPr>
          </w:p>
        </w:tc>
      </w:tr>
      <w:tr w:rsidR="00AB0C20" w:rsidRPr="007C3ACB" w:rsidTr="006026F8">
        <w:trPr>
          <w:trHeight w:val="315"/>
        </w:trPr>
        <w:tc>
          <w:tcPr>
            <w:tcW w:w="28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b/>
                <w:bCs/>
                <w:color w:val="000000"/>
              </w:rPr>
            </w:pPr>
            <w:r w:rsidRPr="007C3ACB">
              <w:rPr>
                <w:rFonts w:asciiTheme="minorHAnsi" w:hAnsiTheme="minorHAnsi"/>
                <w:b/>
                <w:bCs/>
                <w:color w:val="000000"/>
              </w:rPr>
              <w:t>Všeobecné lékařství</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2017/2018</w:t>
            </w:r>
          </w:p>
        </w:tc>
        <w:tc>
          <w:tcPr>
            <w:tcW w:w="1206" w:type="dxa"/>
            <w:tcBorders>
              <w:top w:val="single" w:sz="8" w:space="0" w:color="auto"/>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2018/2019</w:t>
            </w:r>
          </w:p>
        </w:tc>
        <w:tc>
          <w:tcPr>
            <w:tcW w:w="1206" w:type="dxa"/>
            <w:tcBorders>
              <w:top w:val="single" w:sz="8" w:space="0" w:color="auto"/>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2019/2020</w:t>
            </w:r>
          </w:p>
        </w:tc>
        <w:tc>
          <w:tcPr>
            <w:tcW w:w="1206" w:type="dxa"/>
            <w:tcBorders>
              <w:top w:val="single" w:sz="8" w:space="0" w:color="auto"/>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2020/2021</w:t>
            </w:r>
          </w:p>
        </w:tc>
        <w:tc>
          <w:tcPr>
            <w:tcW w:w="1343" w:type="dxa"/>
            <w:tcBorders>
              <w:top w:val="single" w:sz="8" w:space="0" w:color="auto"/>
              <w:left w:val="single" w:sz="4" w:space="0" w:color="auto"/>
              <w:bottom w:val="single" w:sz="4" w:space="0" w:color="auto"/>
              <w:right w:val="single" w:sz="8" w:space="0" w:color="auto"/>
            </w:tcBorders>
          </w:tcPr>
          <w:p w:rsidR="00AB0C20" w:rsidRPr="007C3ACB" w:rsidRDefault="006026F8" w:rsidP="006C46F0">
            <w:pPr>
              <w:jc w:val="center"/>
              <w:rPr>
                <w:rFonts w:asciiTheme="minorHAnsi" w:hAnsiTheme="minorHAnsi"/>
                <w:color w:val="000000"/>
              </w:rPr>
            </w:pPr>
            <w:r>
              <w:rPr>
                <w:rFonts w:asciiTheme="minorHAnsi" w:hAnsiTheme="minorHAnsi"/>
                <w:color w:val="000000"/>
              </w:rPr>
              <w:t>2021/2022</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Počet zapsaných studentů</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1987</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1955</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1932</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1997</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2125</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 xml:space="preserve">počet VP předmětů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260</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254</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251</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238</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246</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 xml:space="preserve">max. počet studentů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8940</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8629</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8498</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7950</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8526</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počet zapsaných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3E4B9A">
            <w:pPr>
              <w:jc w:val="center"/>
              <w:rPr>
                <w:rFonts w:asciiTheme="minorHAnsi" w:hAnsiTheme="minorHAnsi"/>
                <w:color w:val="000000"/>
              </w:rPr>
            </w:pPr>
            <w:r w:rsidRPr="007C3ACB">
              <w:rPr>
                <w:rFonts w:asciiTheme="minorHAnsi" w:hAnsiTheme="minorHAnsi"/>
                <w:color w:val="000000" w:themeColor="text1"/>
              </w:rPr>
              <w:t>3689/</w:t>
            </w:r>
            <w:proofErr w:type="gramStart"/>
            <w:r w:rsidRPr="007C3ACB">
              <w:rPr>
                <w:rFonts w:asciiTheme="minorHAnsi" w:hAnsiTheme="minorHAnsi"/>
                <w:color w:val="000000" w:themeColor="text1"/>
              </w:rPr>
              <w:t>41%</w:t>
            </w:r>
            <w:proofErr w:type="gramEnd"/>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3989/</w:t>
            </w:r>
            <w:proofErr w:type="gramStart"/>
            <w:r w:rsidRPr="007C3ACB">
              <w:rPr>
                <w:rFonts w:asciiTheme="minorHAnsi" w:hAnsiTheme="minorHAnsi"/>
                <w:color w:val="000000"/>
              </w:rPr>
              <w:t>46%</w:t>
            </w:r>
            <w:proofErr w:type="gramEnd"/>
          </w:p>
        </w:tc>
        <w:tc>
          <w:tcPr>
            <w:tcW w:w="1206" w:type="dxa"/>
            <w:tcBorders>
              <w:top w:val="nil"/>
              <w:left w:val="single" w:sz="4" w:space="0" w:color="auto"/>
              <w:bottom w:val="single" w:sz="4" w:space="0" w:color="auto"/>
              <w:right w:val="single" w:sz="8" w:space="0" w:color="auto"/>
            </w:tcBorders>
          </w:tcPr>
          <w:p w:rsidR="00AB0C20" w:rsidRPr="007C3ACB" w:rsidRDefault="00AB0C20" w:rsidP="00E43C3A">
            <w:pPr>
              <w:jc w:val="center"/>
              <w:rPr>
                <w:rFonts w:asciiTheme="minorHAnsi" w:hAnsiTheme="minorHAnsi"/>
                <w:color w:val="000000"/>
              </w:rPr>
            </w:pPr>
            <w:r w:rsidRPr="007C3ACB">
              <w:rPr>
                <w:rFonts w:asciiTheme="minorHAnsi" w:hAnsiTheme="minorHAnsi"/>
                <w:color w:val="000000"/>
              </w:rPr>
              <w:t>4428/</w:t>
            </w:r>
            <w:proofErr w:type="gramStart"/>
            <w:r w:rsidRPr="007C3ACB">
              <w:rPr>
                <w:rFonts w:asciiTheme="minorHAnsi" w:hAnsiTheme="minorHAnsi"/>
                <w:color w:val="000000"/>
              </w:rPr>
              <w:t>52%</w:t>
            </w:r>
            <w:proofErr w:type="gramEnd"/>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Pr>
                <w:rFonts w:asciiTheme="minorHAnsi" w:hAnsiTheme="minorHAnsi"/>
                <w:color w:val="000000"/>
              </w:rPr>
              <w:t>5651</w:t>
            </w:r>
            <w:r w:rsidR="00505953">
              <w:rPr>
                <w:rFonts w:asciiTheme="minorHAnsi" w:hAnsiTheme="minorHAnsi"/>
                <w:color w:val="000000"/>
              </w:rPr>
              <w:t>/</w:t>
            </w:r>
            <w:proofErr w:type="gramStart"/>
            <w:r w:rsidR="006026F8">
              <w:rPr>
                <w:rFonts w:asciiTheme="minorHAnsi" w:hAnsiTheme="minorHAnsi"/>
                <w:color w:val="000000"/>
              </w:rPr>
              <w:t>71%</w:t>
            </w:r>
            <w:proofErr w:type="gramEnd"/>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Průměrná délka (sem.)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1,18</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1,18</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1,17</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1,15</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1,15</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Průměrné kredity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2,86</w:t>
            </w:r>
          </w:p>
        </w:tc>
        <w:tc>
          <w:tcPr>
            <w:tcW w:w="1206" w:type="dxa"/>
            <w:tcBorders>
              <w:top w:val="nil"/>
              <w:left w:val="single" w:sz="4" w:space="0" w:color="auto"/>
              <w:bottom w:val="single" w:sz="4"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2,82</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2,8</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2,8</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2,8</w:t>
            </w:r>
          </w:p>
        </w:tc>
      </w:tr>
      <w:tr w:rsidR="00AB0C20" w:rsidRPr="007C3ACB" w:rsidTr="006026F8">
        <w:trPr>
          <w:trHeight w:val="330"/>
        </w:trPr>
        <w:tc>
          <w:tcPr>
            <w:tcW w:w="2887" w:type="dxa"/>
            <w:tcBorders>
              <w:top w:val="nil"/>
              <w:left w:val="single" w:sz="8" w:space="0" w:color="auto"/>
              <w:bottom w:val="single" w:sz="8" w:space="0" w:color="auto"/>
              <w:right w:val="single" w:sz="4" w:space="0" w:color="auto"/>
            </w:tcBorders>
            <w:shd w:val="clear" w:color="auto" w:fill="auto"/>
            <w:noWrap/>
            <w:vAlign w:val="bottom"/>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nesplněné VP/%</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rsidR="00AB0C20" w:rsidRPr="007C3ACB" w:rsidRDefault="00AB0C20" w:rsidP="00E43C3A">
            <w:pPr>
              <w:jc w:val="center"/>
              <w:rPr>
                <w:rFonts w:asciiTheme="minorHAnsi" w:hAnsiTheme="minorHAnsi"/>
                <w:color w:val="000000"/>
              </w:rPr>
            </w:pPr>
            <w:r w:rsidRPr="007C3ACB">
              <w:rPr>
                <w:rFonts w:asciiTheme="minorHAnsi" w:hAnsiTheme="minorHAnsi"/>
                <w:color w:val="000000" w:themeColor="text1"/>
              </w:rPr>
              <w:t>360/</w:t>
            </w:r>
            <w:proofErr w:type="gramStart"/>
            <w:r w:rsidRPr="007C3ACB">
              <w:rPr>
                <w:rFonts w:asciiTheme="minorHAnsi" w:hAnsiTheme="minorHAnsi"/>
                <w:color w:val="000000" w:themeColor="text1"/>
              </w:rPr>
              <w:t>10%</w:t>
            </w:r>
            <w:proofErr w:type="gramEnd"/>
          </w:p>
        </w:tc>
        <w:tc>
          <w:tcPr>
            <w:tcW w:w="1206" w:type="dxa"/>
            <w:tcBorders>
              <w:top w:val="nil"/>
              <w:left w:val="single" w:sz="4" w:space="0" w:color="auto"/>
              <w:bottom w:val="single" w:sz="8" w:space="0" w:color="auto"/>
              <w:right w:val="single" w:sz="8" w:space="0" w:color="auto"/>
            </w:tcBorders>
            <w:shd w:val="clear" w:color="auto" w:fill="auto"/>
            <w:vAlign w:val="bottom"/>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291/</w:t>
            </w:r>
            <w:proofErr w:type="gramStart"/>
            <w:r w:rsidRPr="007C3ACB">
              <w:rPr>
                <w:rFonts w:asciiTheme="minorHAnsi" w:hAnsiTheme="minorHAnsi"/>
                <w:color w:val="000000"/>
              </w:rPr>
              <w:t>7%</w:t>
            </w:r>
            <w:proofErr w:type="gramEnd"/>
          </w:p>
        </w:tc>
        <w:tc>
          <w:tcPr>
            <w:tcW w:w="1206" w:type="dxa"/>
            <w:tcBorders>
              <w:top w:val="nil"/>
              <w:left w:val="single" w:sz="4" w:space="0" w:color="auto"/>
              <w:bottom w:val="single" w:sz="8"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345/</w:t>
            </w:r>
            <w:proofErr w:type="gramStart"/>
            <w:r w:rsidRPr="007C3ACB">
              <w:rPr>
                <w:rFonts w:asciiTheme="minorHAnsi" w:hAnsiTheme="minorHAnsi"/>
                <w:color w:val="000000"/>
              </w:rPr>
              <w:t>8%</w:t>
            </w:r>
            <w:proofErr w:type="gramEnd"/>
          </w:p>
        </w:tc>
        <w:tc>
          <w:tcPr>
            <w:tcW w:w="1206" w:type="dxa"/>
            <w:tcBorders>
              <w:top w:val="nil"/>
              <w:left w:val="single" w:sz="4" w:space="0" w:color="auto"/>
              <w:bottom w:val="single" w:sz="8" w:space="0" w:color="auto"/>
              <w:right w:val="single" w:sz="8" w:space="0" w:color="auto"/>
            </w:tcBorders>
          </w:tcPr>
          <w:p w:rsidR="00AB0C20" w:rsidRPr="007C3ACB" w:rsidRDefault="00AB0C20" w:rsidP="006C46F0">
            <w:pPr>
              <w:jc w:val="center"/>
              <w:rPr>
                <w:rFonts w:asciiTheme="minorHAnsi" w:hAnsiTheme="minorHAnsi"/>
                <w:color w:val="000000"/>
              </w:rPr>
            </w:pPr>
            <w:r>
              <w:rPr>
                <w:rFonts w:asciiTheme="minorHAnsi" w:hAnsiTheme="minorHAnsi"/>
                <w:color w:val="000000"/>
              </w:rPr>
              <w:t>473/</w:t>
            </w:r>
            <w:proofErr w:type="gramStart"/>
            <w:r>
              <w:rPr>
                <w:rFonts w:asciiTheme="minorHAnsi" w:hAnsiTheme="minorHAnsi"/>
                <w:color w:val="000000"/>
              </w:rPr>
              <w:t>8,4%</w:t>
            </w:r>
            <w:proofErr w:type="gramEnd"/>
          </w:p>
        </w:tc>
        <w:tc>
          <w:tcPr>
            <w:tcW w:w="1343" w:type="dxa"/>
            <w:tcBorders>
              <w:top w:val="nil"/>
              <w:left w:val="single" w:sz="4" w:space="0" w:color="auto"/>
              <w:bottom w:val="single" w:sz="8"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w:t>
            </w:r>
          </w:p>
        </w:tc>
      </w:tr>
      <w:tr w:rsidR="00AB0C20" w:rsidRPr="007C3ACB" w:rsidTr="006026F8">
        <w:trPr>
          <w:trHeight w:val="315"/>
        </w:trPr>
        <w:tc>
          <w:tcPr>
            <w:tcW w:w="2887"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color w:val="000000"/>
              </w:rPr>
            </w:pPr>
          </w:p>
        </w:tc>
        <w:tc>
          <w:tcPr>
            <w:tcW w:w="1276"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color w:val="000000"/>
              </w:rPr>
            </w:pPr>
          </w:p>
        </w:tc>
        <w:tc>
          <w:tcPr>
            <w:tcW w:w="1206" w:type="dxa"/>
            <w:tcBorders>
              <w:top w:val="nil"/>
              <w:left w:val="nil"/>
              <w:bottom w:val="nil"/>
              <w:right w:val="nil"/>
            </w:tcBorders>
            <w:shd w:val="clear" w:color="auto" w:fill="auto"/>
            <w:vAlign w:val="bottom"/>
          </w:tcPr>
          <w:p w:rsidR="00AB0C20" w:rsidRPr="007C3ACB" w:rsidRDefault="00AB0C20" w:rsidP="006C46F0">
            <w:pPr>
              <w:jc w:val="center"/>
              <w:rPr>
                <w:rFonts w:asciiTheme="minorHAnsi" w:hAnsiTheme="minorHAnsi"/>
                <w:color w:val="000000"/>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color w:val="000000"/>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color w:val="000000"/>
              </w:rPr>
            </w:pPr>
          </w:p>
        </w:tc>
        <w:tc>
          <w:tcPr>
            <w:tcW w:w="1343" w:type="dxa"/>
            <w:tcBorders>
              <w:top w:val="nil"/>
              <w:left w:val="nil"/>
              <w:bottom w:val="nil"/>
              <w:right w:val="nil"/>
            </w:tcBorders>
          </w:tcPr>
          <w:p w:rsidR="00AB0C20" w:rsidRPr="007C3ACB" w:rsidRDefault="00AB0C20" w:rsidP="006C46F0">
            <w:pPr>
              <w:jc w:val="center"/>
              <w:rPr>
                <w:rFonts w:asciiTheme="minorHAnsi" w:hAnsiTheme="minorHAnsi"/>
                <w:color w:val="000000"/>
              </w:rPr>
            </w:pPr>
          </w:p>
        </w:tc>
      </w:tr>
      <w:tr w:rsidR="00AB0C20" w:rsidRPr="007C3ACB" w:rsidTr="006026F8">
        <w:trPr>
          <w:trHeight w:val="330"/>
        </w:trPr>
        <w:tc>
          <w:tcPr>
            <w:tcW w:w="2887"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rPr>
            </w:pPr>
          </w:p>
        </w:tc>
        <w:tc>
          <w:tcPr>
            <w:tcW w:w="1276"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shd w:val="clear" w:color="auto" w:fill="auto"/>
            <w:vAlign w:val="bottom"/>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rPr>
            </w:pPr>
          </w:p>
        </w:tc>
        <w:tc>
          <w:tcPr>
            <w:tcW w:w="1343" w:type="dxa"/>
            <w:tcBorders>
              <w:top w:val="nil"/>
              <w:left w:val="nil"/>
              <w:bottom w:val="nil"/>
              <w:right w:val="nil"/>
            </w:tcBorders>
          </w:tcPr>
          <w:p w:rsidR="00AB0C20" w:rsidRPr="007C3ACB" w:rsidRDefault="00AB0C20" w:rsidP="006C46F0">
            <w:pPr>
              <w:jc w:val="center"/>
              <w:rPr>
                <w:rFonts w:asciiTheme="minorHAnsi" w:hAnsiTheme="minorHAnsi"/>
              </w:rPr>
            </w:pPr>
          </w:p>
        </w:tc>
      </w:tr>
      <w:tr w:rsidR="00AB0C20" w:rsidRPr="007C3ACB" w:rsidTr="006026F8">
        <w:trPr>
          <w:trHeight w:val="315"/>
        </w:trPr>
        <w:tc>
          <w:tcPr>
            <w:tcW w:w="28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b/>
                <w:bCs/>
                <w:color w:val="000000"/>
              </w:rPr>
            </w:pPr>
            <w:r w:rsidRPr="007C3ACB">
              <w:rPr>
                <w:rFonts w:asciiTheme="minorHAnsi" w:hAnsiTheme="minorHAnsi"/>
                <w:b/>
                <w:bCs/>
                <w:color w:val="000000"/>
              </w:rPr>
              <w:t> Anglická paralelka</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2017/2018</w:t>
            </w:r>
          </w:p>
        </w:tc>
        <w:tc>
          <w:tcPr>
            <w:tcW w:w="1206" w:type="dxa"/>
            <w:tcBorders>
              <w:top w:val="single" w:sz="8" w:space="0" w:color="auto"/>
              <w:left w:val="single" w:sz="4" w:space="0" w:color="auto"/>
              <w:bottom w:val="single" w:sz="4"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2018/2019</w:t>
            </w:r>
          </w:p>
        </w:tc>
        <w:tc>
          <w:tcPr>
            <w:tcW w:w="1206" w:type="dxa"/>
            <w:tcBorders>
              <w:top w:val="single" w:sz="8" w:space="0" w:color="auto"/>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2019/2020</w:t>
            </w:r>
          </w:p>
        </w:tc>
        <w:tc>
          <w:tcPr>
            <w:tcW w:w="1206" w:type="dxa"/>
            <w:tcBorders>
              <w:top w:val="single" w:sz="8" w:space="0" w:color="auto"/>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2020/2021</w:t>
            </w:r>
          </w:p>
        </w:tc>
        <w:tc>
          <w:tcPr>
            <w:tcW w:w="1343" w:type="dxa"/>
            <w:tcBorders>
              <w:top w:val="single" w:sz="8" w:space="0" w:color="auto"/>
              <w:left w:val="single" w:sz="4" w:space="0" w:color="auto"/>
              <w:bottom w:val="single" w:sz="4" w:space="0" w:color="auto"/>
              <w:right w:val="single" w:sz="8" w:space="0" w:color="auto"/>
            </w:tcBorders>
          </w:tcPr>
          <w:p w:rsidR="00AB0C20" w:rsidRPr="007C3ACB" w:rsidRDefault="006026F8" w:rsidP="006C46F0">
            <w:pPr>
              <w:jc w:val="center"/>
              <w:rPr>
                <w:rFonts w:asciiTheme="minorHAnsi" w:hAnsiTheme="minorHAnsi"/>
                <w:color w:val="000000"/>
              </w:rPr>
            </w:pPr>
            <w:r>
              <w:rPr>
                <w:rFonts w:asciiTheme="minorHAnsi" w:hAnsiTheme="minorHAnsi"/>
                <w:color w:val="000000"/>
              </w:rPr>
              <w:t>2021/2022</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Počet zapsaných studentů</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889</w:t>
            </w:r>
          </w:p>
        </w:tc>
        <w:tc>
          <w:tcPr>
            <w:tcW w:w="1206" w:type="dxa"/>
            <w:tcBorders>
              <w:top w:val="nil"/>
              <w:left w:val="single" w:sz="4" w:space="0" w:color="auto"/>
              <w:bottom w:val="single" w:sz="4"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790</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715</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785</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738</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 xml:space="preserve">počet VP </w:t>
            </w:r>
            <w:proofErr w:type="gramStart"/>
            <w:r w:rsidRPr="007C3ACB">
              <w:rPr>
                <w:rFonts w:asciiTheme="minorHAnsi" w:hAnsiTheme="minorHAnsi"/>
                <w:color w:val="000000"/>
              </w:rPr>
              <w:t>předmětů - AP</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69</w:t>
            </w:r>
          </w:p>
        </w:tc>
        <w:tc>
          <w:tcPr>
            <w:tcW w:w="1206" w:type="dxa"/>
            <w:tcBorders>
              <w:top w:val="nil"/>
              <w:left w:val="single" w:sz="4" w:space="0" w:color="auto"/>
              <w:bottom w:val="single" w:sz="4"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76</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78</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76</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89</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max. počet studentů AP</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1934</w:t>
            </w:r>
          </w:p>
        </w:tc>
        <w:tc>
          <w:tcPr>
            <w:tcW w:w="1206" w:type="dxa"/>
            <w:tcBorders>
              <w:top w:val="nil"/>
              <w:left w:val="single" w:sz="4" w:space="0" w:color="auto"/>
              <w:bottom w:val="single" w:sz="4"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1907</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1892</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1905</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2356</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počet zapsaných – AP/%</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13221D">
            <w:pPr>
              <w:jc w:val="center"/>
              <w:rPr>
                <w:rFonts w:asciiTheme="minorHAnsi" w:hAnsiTheme="minorHAnsi"/>
                <w:color w:val="000000" w:themeColor="text1"/>
              </w:rPr>
            </w:pPr>
            <w:r w:rsidRPr="007C3ACB">
              <w:rPr>
                <w:rFonts w:asciiTheme="minorHAnsi" w:hAnsiTheme="minorHAnsi"/>
                <w:color w:val="000000" w:themeColor="text1"/>
              </w:rPr>
              <w:t>1059/</w:t>
            </w:r>
            <w:proofErr w:type="gramStart"/>
            <w:r w:rsidRPr="007C3ACB">
              <w:rPr>
                <w:rFonts w:asciiTheme="minorHAnsi" w:hAnsiTheme="minorHAnsi"/>
                <w:color w:val="000000" w:themeColor="text1"/>
              </w:rPr>
              <w:t>55%</w:t>
            </w:r>
            <w:proofErr w:type="gramEnd"/>
          </w:p>
        </w:tc>
        <w:tc>
          <w:tcPr>
            <w:tcW w:w="1206" w:type="dxa"/>
            <w:tcBorders>
              <w:top w:val="nil"/>
              <w:left w:val="single" w:sz="4" w:space="0" w:color="auto"/>
              <w:bottom w:val="single" w:sz="4"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1149/</w:t>
            </w:r>
            <w:proofErr w:type="gramStart"/>
            <w:r w:rsidRPr="007C3ACB">
              <w:rPr>
                <w:rFonts w:asciiTheme="minorHAnsi" w:hAnsiTheme="minorHAnsi"/>
                <w:color w:val="000000"/>
              </w:rPr>
              <w:t>60%</w:t>
            </w:r>
            <w:proofErr w:type="gramEnd"/>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1324/</w:t>
            </w:r>
            <w:proofErr w:type="gramStart"/>
            <w:r w:rsidRPr="007C3ACB">
              <w:rPr>
                <w:rFonts w:asciiTheme="minorHAnsi" w:hAnsiTheme="minorHAnsi"/>
                <w:color w:val="000000"/>
              </w:rPr>
              <w:t>61%</w:t>
            </w:r>
            <w:proofErr w:type="gramEnd"/>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Pr>
                <w:rFonts w:asciiTheme="minorHAnsi" w:hAnsiTheme="minorHAnsi"/>
                <w:color w:val="000000"/>
              </w:rPr>
              <w:t>1490/</w:t>
            </w:r>
            <w:proofErr w:type="gramStart"/>
            <w:r w:rsidR="00505953">
              <w:rPr>
                <w:rFonts w:asciiTheme="minorHAnsi" w:hAnsiTheme="minorHAnsi"/>
                <w:color w:val="000000"/>
              </w:rPr>
              <w:t>78%</w:t>
            </w:r>
            <w:proofErr w:type="gramEnd"/>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Průměrná délka (sem.)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themeColor="text1"/>
              </w:rPr>
            </w:pPr>
            <w:r w:rsidRPr="007C3ACB">
              <w:rPr>
                <w:rFonts w:asciiTheme="minorHAnsi" w:hAnsiTheme="minorHAnsi"/>
                <w:color w:val="000000" w:themeColor="text1"/>
              </w:rPr>
              <w:t>1,16</w:t>
            </w:r>
          </w:p>
        </w:tc>
        <w:tc>
          <w:tcPr>
            <w:tcW w:w="1206" w:type="dxa"/>
            <w:tcBorders>
              <w:top w:val="nil"/>
              <w:left w:val="single" w:sz="4" w:space="0" w:color="auto"/>
              <w:bottom w:val="single" w:sz="4"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1,14</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1,14</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1,14</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1,1</w:t>
            </w:r>
          </w:p>
        </w:tc>
      </w:tr>
      <w:tr w:rsidR="00AB0C20" w:rsidRPr="007C3ACB" w:rsidTr="006026F8">
        <w:trPr>
          <w:trHeight w:val="315"/>
        </w:trPr>
        <w:tc>
          <w:tcPr>
            <w:tcW w:w="2887" w:type="dxa"/>
            <w:tcBorders>
              <w:top w:val="nil"/>
              <w:left w:val="single" w:sz="8" w:space="0" w:color="auto"/>
              <w:bottom w:val="single" w:sz="4"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Průměrné kredity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0C20" w:rsidRPr="007C3ACB" w:rsidRDefault="00AB0C20" w:rsidP="006C46F0">
            <w:pPr>
              <w:jc w:val="center"/>
              <w:rPr>
                <w:rFonts w:asciiTheme="minorHAnsi" w:hAnsiTheme="minorHAnsi"/>
                <w:color w:val="000000" w:themeColor="text1"/>
              </w:rPr>
            </w:pPr>
            <w:r w:rsidRPr="007C3ACB">
              <w:rPr>
                <w:rFonts w:asciiTheme="minorHAnsi" w:hAnsiTheme="minorHAnsi"/>
                <w:color w:val="000000" w:themeColor="text1"/>
              </w:rPr>
              <w:t>2,97</w:t>
            </w:r>
          </w:p>
        </w:tc>
        <w:tc>
          <w:tcPr>
            <w:tcW w:w="1206" w:type="dxa"/>
            <w:tcBorders>
              <w:top w:val="nil"/>
              <w:left w:val="single" w:sz="4" w:space="0" w:color="auto"/>
              <w:bottom w:val="single" w:sz="4"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2,99</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2,92</w:t>
            </w:r>
          </w:p>
        </w:tc>
        <w:tc>
          <w:tcPr>
            <w:tcW w:w="1206" w:type="dxa"/>
            <w:tcBorders>
              <w:top w:val="nil"/>
              <w:left w:val="single" w:sz="4" w:space="0" w:color="auto"/>
              <w:bottom w:val="single" w:sz="4"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3</w:t>
            </w:r>
          </w:p>
        </w:tc>
        <w:tc>
          <w:tcPr>
            <w:tcW w:w="1343" w:type="dxa"/>
            <w:tcBorders>
              <w:top w:val="nil"/>
              <w:left w:val="single" w:sz="4" w:space="0" w:color="auto"/>
              <w:bottom w:val="single" w:sz="4"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2,9</w:t>
            </w:r>
          </w:p>
        </w:tc>
      </w:tr>
      <w:tr w:rsidR="00AB0C20" w:rsidRPr="007C3ACB" w:rsidTr="006026F8">
        <w:trPr>
          <w:trHeight w:val="330"/>
        </w:trPr>
        <w:tc>
          <w:tcPr>
            <w:tcW w:w="2887" w:type="dxa"/>
            <w:tcBorders>
              <w:top w:val="nil"/>
              <w:left w:val="single" w:sz="8" w:space="0" w:color="auto"/>
              <w:bottom w:val="single" w:sz="8" w:space="0" w:color="auto"/>
              <w:right w:val="single" w:sz="4" w:space="0" w:color="auto"/>
            </w:tcBorders>
            <w:shd w:val="clear" w:color="auto" w:fill="auto"/>
            <w:noWrap/>
            <w:vAlign w:val="center"/>
            <w:hideMark/>
          </w:tcPr>
          <w:p w:rsidR="00AB0C20" w:rsidRPr="007C3ACB" w:rsidRDefault="00AB0C20" w:rsidP="006C46F0">
            <w:pPr>
              <w:rPr>
                <w:rFonts w:asciiTheme="minorHAnsi" w:hAnsiTheme="minorHAnsi"/>
                <w:color w:val="000000"/>
              </w:rPr>
            </w:pPr>
            <w:r w:rsidRPr="007C3ACB">
              <w:rPr>
                <w:rFonts w:asciiTheme="minorHAnsi" w:hAnsiTheme="minorHAnsi"/>
                <w:color w:val="000000"/>
              </w:rPr>
              <w:t>nesplněné VP/%</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0C20" w:rsidRPr="007C3ACB" w:rsidRDefault="00AB0C20" w:rsidP="0013221D">
            <w:pPr>
              <w:jc w:val="center"/>
              <w:rPr>
                <w:rFonts w:asciiTheme="minorHAnsi" w:hAnsiTheme="minorHAnsi"/>
                <w:color w:val="000000" w:themeColor="text1"/>
              </w:rPr>
            </w:pPr>
            <w:r w:rsidRPr="007C3ACB">
              <w:rPr>
                <w:rFonts w:asciiTheme="minorHAnsi" w:hAnsiTheme="minorHAnsi"/>
                <w:color w:val="000000" w:themeColor="text1"/>
              </w:rPr>
              <w:t>108/</w:t>
            </w:r>
            <w:proofErr w:type="gramStart"/>
            <w:r w:rsidRPr="007C3ACB">
              <w:rPr>
                <w:rFonts w:asciiTheme="minorHAnsi" w:hAnsiTheme="minorHAnsi"/>
                <w:color w:val="000000" w:themeColor="text1"/>
              </w:rPr>
              <w:t>10%</w:t>
            </w:r>
            <w:proofErr w:type="gramEnd"/>
          </w:p>
        </w:tc>
        <w:tc>
          <w:tcPr>
            <w:tcW w:w="1206" w:type="dxa"/>
            <w:tcBorders>
              <w:top w:val="nil"/>
              <w:left w:val="single" w:sz="4" w:space="0" w:color="auto"/>
              <w:bottom w:val="single" w:sz="8" w:space="0" w:color="auto"/>
              <w:right w:val="single" w:sz="8" w:space="0" w:color="auto"/>
            </w:tcBorders>
            <w:shd w:val="clear" w:color="auto" w:fill="auto"/>
            <w:vAlign w:val="center"/>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97/</w:t>
            </w:r>
            <w:proofErr w:type="gramStart"/>
            <w:r w:rsidRPr="007C3ACB">
              <w:rPr>
                <w:rFonts w:asciiTheme="minorHAnsi" w:hAnsiTheme="minorHAnsi"/>
                <w:color w:val="000000"/>
              </w:rPr>
              <w:t>8,4%</w:t>
            </w:r>
            <w:proofErr w:type="gramEnd"/>
          </w:p>
        </w:tc>
        <w:tc>
          <w:tcPr>
            <w:tcW w:w="1206" w:type="dxa"/>
            <w:tcBorders>
              <w:top w:val="nil"/>
              <w:left w:val="single" w:sz="4" w:space="0" w:color="auto"/>
              <w:bottom w:val="single" w:sz="8" w:space="0" w:color="auto"/>
              <w:right w:val="single" w:sz="8" w:space="0" w:color="auto"/>
            </w:tcBorders>
          </w:tcPr>
          <w:p w:rsidR="00AB0C20" w:rsidRPr="007C3ACB" w:rsidRDefault="00AB0C20" w:rsidP="006C46F0">
            <w:pPr>
              <w:jc w:val="center"/>
              <w:rPr>
                <w:rFonts w:asciiTheme="minorHAnsi" w:hAnsiTheme="minorHAnsi"/>
                <w:color w:val="000000"/>
              </w:rPr>
            </w:pPr>
            <w:r w:rsidRPr="007C3ACB">
              <w:rPr>
                <w:rFonts w:asciiTheme="minorHAnsi" w:hAnsiTheme="minorHAnsi"/>
                <w:color w:val="000000"/>
              </w:rPr>
              <w:t>101/</w:t>
            </w:r>
            <w:proofErr w:type="gramStart"/>
            <w:r w:rsidRPr="007C3ACB">
              <w:rPr>
                <w:rFonts w:asciiTheme="minorHAnsi" w:hAnsiTheme="minorHAnsi"/>
                <w:color w:val="000000"/>
              </w:rPr>
              <w:t>7,6%</w:t>
            </w:r>
            <w:proofErr w:type="gramEnd"/>
          </w:p>
        </w:tc>
        <w:tc>
          <w:tcPr>
            <w:tcW w:w="1206" w:type="dxa"/>
            <w:tcBorders>
              <w:top w:val="nil"/>
              <w:left w:val="single" w:sz="4" w:space="0" w:color="auto"/>
              <w:bottom w:val="single" w:sz="8" w:space="0" w:color="auto"/>
              <w:right w:val="single" w:sz="8" w:space="0" w:color="auto"/>
            </w:tcBorders>
          </w:tcPr>
          <w:p w:rsidR="00AB0C20" w:rsidRPr="007C3ACB" w:rsidRDefault="00AB0C20" w:rsidP="006C46F0">
            <w:pPr>
              <w:jc w:val="center"/>
              <w:rPr>
                <w:rFonts w:asciiTheme="minorHAnsi" w:hAnsiTheme="minorHAnsi"/>
                <w:color w:val="000000"/>
              </w:rPr>
            </w:pPr>
            <w:r>
              <w:rPr>
                <w:rFonts w:asciiTheme="minorHAnsi" w:hAnsiTheme="minorHAnsi"/>
                <w:color w:val="000000"/>
              </w:rPr>
              <w:t>144/</w:t>
            </w:r>
            <w:proofErr w:type="gramStart"/>
            <w:r>
              <w:rPr>
                <w:rFonts w:asciiTheme="minorHAnsi" w:hAnsiTheme="minorHAnsi"/>
                <w:color w:val="000000"/>
              </w:rPr>
              <w:t>9,7%</w:t>
            </w:r>
            <w:proofErr w:type="gramEnd"/>
          </w:p>
        </w:tc>
        <w:tc>
          <w:tcPr>
            <w:tcW w:w="1343" w:type="dxa"/>
            <w:tcBorders>
              <w:top w:val="nil"/>
              <w:left w:val="single" w:sz="4" w:space="0" w:color="auto"/>
              <w:bottom w:val="single" w:sz="8" w:space="0" w:color="auto"/>
              <w:right w:val="single" w:sz="8" w:space="0" w:color="auto"/>
            </w:tcBorders>
          </w:tcPr>
          <w:p w:rsidR="00AB0C20" w:rsidRPr="007C3ACB" w:rsidRDefault="00624592" w:rsidP="006C46F0">
            <w:pPr>
              <w:jc w:val="center"/>
              <w:rPr>
                <w:rFonts w:asciiTheme="minorHAnsi" w:hAnsiTheme="minorHAnsi"/>
                <w:color w:val="000000"/>
              </w:rPr>
            </w:pPr>
            <w:r>
              <w:rPr>
                <w:rFonts w:asciiTheme="minorHAnsi" w:hAnsiTheme="minorHAnsi"/>
                <w:color w:val="000000"/>
              </w:rPr>
              <w:t>*</w:t>
            </w:r>
          </w:p>
        </w:tc>
      </w:tr>
      <w:tr w:rsidR="00AB0C20" w:rsidRPr="007C3ACB" w:rsidTr="006026F8">
        <w:trPr>
          <w:trHeight w:val="315"/>
        </w:trPr>
        <w:tc>
          <w:tcPr>
            <w:tcW w:w="2887" w:type="dxa"/>
            <w:tcBorders>
              <w:top w:val="nil"/>
              <w:left w:val="nil"/>
              <w:bottom w:val="nil"/>
              <w:right w:val="nil"/>
            </w:tcBorders>
            <w:shd w:val="clear" w:color="auto" w:fill="auto"/>
            <w:noWrap/>
            <w:vAlign w:val="center"/>
            <w:hideMark/>
          </w:tcPr>
          <w:p w:rsidR="00AB0C20" w:rsidRPr="007C3ACB" w:rsidRDefault="00AB0C20" w:rsidP="00497FFB">
            <w:pPr>
              <w:rPr>
                <w:rFonts w:asciiTheme="minorHAnsi" w:hAnsiTheme="minorHAnsi"/>
                <w:color w:val="000000"/>
              </w:rPr>
            </w:pPr>
            <w:r w:rsidRPr="007C3ACB">
              <w:rPr>
                <w:rFonts w:asciiTheme="minorHAnsi" w:hAnsiTheme="minorHAnsi"/>
                <w:color w:val="000000"/>
              </w:rPr>
              <w:t>* až po ukončení 202</w:t>
            </w:r>
            <w:r>
              <w:rPr>
                <w:rFonts w:asciiTheme="minorHAnsi" w:hAnsiTheme="minorHAnsi"/>
                <w:color w:val="000000"/>
              </w:rPr>
              <w:t>1</w:t>
            </w:r>
            <w:r w:rsidRPr="007C3ACB">
              <w:rPr>
                <w:rFonts w:asciiTheme="minorHAnsi" w:hAnsiTheme="minorHAnsi"/>
                <w:color w:val="000000"/>
              </w:rPr>
              <w:t>/202</w:t>
            </w:r>
            <w:r>
              <w:rPr>
                <w:rFonts w:asciiTheme="minorHAnsi" w:hAnsiTheme="minorHAnsi"/>
                <w:color w:val="000000"/>
              </w:rPr>
              <w:t>2</w:t>
            </w:r>
          </w:p>
        </w:tc>
        <w:tc>
          <w:tcPr>
            <w:tcW w:w="1276" w:type="dxa"/>
            <w:tcBorders>
              <w:top w:val="nil"/>
              <w:left w:val="nil"/>
              <w:bottom w:val="nil"/>
              <w:right w:val="nil"/>
            </w:tcBorders>
            <w:shd w:val="clear" w:color="auto" w:fill="auto"/>
            <w:noWrap/>
            <w:vAlign w:val="bottom"/>
            <w:hideMark/>
          </w:tcPr>
          <w:p w:rsidR="00AB0C20" w:rsidRPr="007C3ACB" w:rsidRDefault="00AB0C20" w:rsidP="006C46F0">
            <w:pPr>
              <w:jc w:val="center"/>
              <w:rPr>
                <w:rFonts w:asciiTheme="minorHAnsi" w:hAnsiTheme="minorHAnsi"/>
                <w:sz w:val="20"/>
                <w:szCs w:val="20"/>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sz w:val="20"/>
                <w:szCs w:val="20"/>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sz w:val="20"/>
                <w:szCs w:val="20"/>
              </w:rPr>
            </w:pPr>
          </w:p>
        </w:tc>
        <w:tc>
          <w:tcPr>
            <w:tcW w:w="1206" w:type="dxa"/>
            <w:tcBorders>
              <w:top w:val="nil"/>
              <w:left w:val="nil"/>
              <w:bottom w:val="nil"/>
              <w:right w:val="nil"/>
            </w:tcBorders>
          </w:tcPr>
          <w:p w:rsidR="00AB0C20" w:rsidRPr="007C3ACB" w:rsidRDefault="00AB0C20" w:rsidP="006C46F0">
            <w:pPr>
              <w:jc w:val="center"/>
              <w:rPr>
                <w:rFonts w:asciiTheme="minorHAnsi" w:hAnsiTheme="minorHAnsi"/>
                <w:sz w:val="20"/>
                <w:szCs w:val="20"/>
              </w:rPr>
            </w:pPr>
          </w:p>
        </w:tc>
        <w:tc>
          <w:tcPr>
            <w:tcW w:w="1343" w:type="dxa"/>
            <w:tcBorders>
              <w:top w:val="nil"/>
              <w:left w:val="nil"/>
              <w:bottom w:val="nil"/>
              <w:right w:val="nil"/>
            </w:tcBorders>
          </w:tcPr>
          <w:p w:rsidR="00AB0C20" w:rsidRPr="007C3ACB" w:rsidRDefault="00AB0C20" w:rsidP="006C46F0">
            <w:pPr>
              <w:jc w:val="center"/>
              <w:rPr>
                <w:rFonts w:asciiTheme="minorHAnsi" w:hAnsiTheme="minorHAnsi"/>
                <w:sz w:val="20"/>
                <w:szCs w:val="20"/>
              </w:rPr>
            </w:pPr>
          </w:p>
        </w:tc>
      </w:tr>
    </w:tbl>
    <w:p w:rsidR="005D1375" w:rsidRPr="007C3ACB" w:rsidRDefault="005D1375" w:rsidP="005D1375">
      <w:pPr>
        <w:rPr>
          <w:rFonts w:asciiTheme="minorHAnsi" w:hAnsiTheme="minorHAnsi"/>
        </w:rPr>
      </w:pPr>
    </w:p>
    <w:p w:rsidR="005D1375" w:rsidRDefault="005D1375" w:rsidP="005D1375">
      <w:pPr>
        <w:rPr>
          <w:rFonts w:ascii="Calibri" w:hAnsi="Calibri" w:cs="Calibri"/>
          <w:color w:val="FF0000"/>
        </w:rPr>
      </w:pPr>
    </w:p>
    <w:p w:rsidR="005670AE" w:rsidRDefault="005670AE" w:rsidP="005D1375">
      <w:pPr>
        <w:rPr>
          <w:rFonts w:ascii="Calibri" w:hAnsi="Calibri" w:cs="Calibri"/>
          <w:color w:val="FF0000"/>
        </w:rPr>
      </w:pPr>
    </w:p>
    <w:p w:rsidR="001A5F68" w:rsidRDefault="001A5F68" w:rsidP="005D1375">
      <w:pPr>
        <w:rPr>
          <w:rFonts w:ascii="Calibri" w:hAnsi="Calibri" w:cs="Calibri"/>
          <w:color w:val="FF0000"/>
        </w:rPr>
      </w:pPr>
    </w:p>
    <w:p w:rsidR="001A5F68" w:rsidRDefault="001A5F68" w:rsidP="005D1375">
      <w:pPr>
        <w:rPr>
          <w:rFonts w:ascii="Calibri" w:hAnsi="Calibri" w:cs="Calibri"/>
          <w:color w:val="FF0000"/>
        </w:rPr>
      </w:pPr>
    </w:p>
    <w:p w:rsidR="005E6388" w:rsidRPr="00A7589C" w:rsidRDefault="005E6388" w:rsidP="005E6388">
      <w:pPr>
        <w:rPr>
          <w:rFonts w:ascii="Calibri" w:hAnsi="Calibri"/>
          <w:b/>
          <w:u w:val="single"/>
        </w:rPr>
      </w:pPr>
      <w:r w:rsidRPr="00A7589C">
        <w:rPr>
          <w:rFonts w:ascii="Calibri" w:hAnsi="Calibri"/>
          <w:b/>
          <w:u w:val="single"/>
        </w:rPr>
        <w:lastRenderedPageBreak/>
        <w:t xml:space="preserve">Postup při tvorbě nabídky nových VP </w:t>
      </w:r>
      <w:r w:rsidR="00A7589C">
        <w:rPr>
          <w:rFonts w:ascii="Calibri" w:hAnsi="Calibri"/>
          <w:b/>
          <w:u w:val="single"/>
        </w:rPr>
        <w:t>a</w:t>
      </w:r>
      <w:r w:rsidRPr="00A7589C">
        <w:rPr>
          <w:rFonts w:ascii="Calibri" w:hAnsi="Calibri"/>
          <w:b/>
          <w:u w:val="single"/>
        </w:rPr>
        <w:t xml:space="preserve"> aktualizaci jejich </w:t>
      </w:r>
      <w:r w:rsidR="00A7589C">
        <w:rPr>
          <w:rFonts w:ascii="Calibri" w:hAnsi="Calibri"/>
          <w:b/>
          <w:u w:val="single"/>
        </w:rPr>
        <w:t>seznamu na akademický rok 202</w:t>
      </w:r>
      <w:r w:rsidR="00624592">
        <w:rPr>
          <w:rFonts w:ascii="Calibri" w:hAnsi="Calibri"/>
          <w:b/>
          <w:u w:val="single"/>
        </w:rPr>
        <w:t>2</w:t>
      </w:r>
      <w:r w:rsidR="00A7589C">
        <w:rPr>
          <w:rFonts w:ascii="Calibri" w:hAnsi="Calibri"/>
          <w:b/>
          <w:u w:val="single"/>
        </w:rPr>
        <w:t>/202</w:t>
      </w:r>
      <w:r w:rsidR="00624592">
        <w:rPr>
          <w:rFonts w:ascii="Calibri" w:hAnsi="Calibri"/>
          <w:b/>
          <w:u w:val="single"/>
        </w:rPr>
        <w:t>3</w:t>
      </w:r>
    </w:p>
    <w:p w:rsidR="005E6388" w:rsidRPr="002C0CD0" w:rsidRDefault="005E6388" w:rsidP="005E6388">
      <w:pPr>
        <w:rPr>
          <w:rFonts w:ascii="Calibri" w:hAnsi="Calibri"/>
        </w:rPr>
      </w:pPr>
    </w:p>
    <w:p w:rsidR="005E6388" w:rsidRDefault="005E6388" w:rsidP="005E6388">
      <w:pPr>
        <w:numPr>
          <w:ilvl w:val="0"/>
          <w:numId w:val="1"/>
        </w:numPr>
        <w:jc w:val="both"/>
        <w:rPr>
          <w:rFonts w:ascii="Calibri" w:hAnsi="Calibri"/>
        </w:rPr>
      </w:pPr>
      <w:r w:rsidRPr="002C0CD0">
        <w:rPr>
          <w:rFonts w:ascii="Calibri" w:hAnsi="Calibri"/>
        </w:rPr>
        <w:t xml:space="preserve">V </w:t>
      </w:r>
      <w:r w:rsidR="00624592">
        <w:rPr>
          <w:rFonts w:ascii="Calibri" w:hAnsi="Calibri"/>
        </w:rPr>
        <w:t>dubnu</w:t>
      </w:r>
      <w:r w:rsidRPr="002C0CD0">
        <w:rPr>
          <w:rFonts w:ascii="Calibri" w:hAnsi="Calibri"/>
        </w:rPr>
        <w:t xml:space="preserve"> </w:t>
      </w:r>
      <w:r w:rsidR="00D202B1">
        <w:rPr>
          <w:rFonts w:ascii="Calibri" w:hAnsi="Calibri"/>
        </w:rPr>
        <w:t>odeslalo</w:t>
      </w:r>
      <w:r w:rsidRPr="002C0CD0">
        <w:rPr>
          <w:rFonts w:ascii="Calibri" w:hAnsi="Calibri"/>
        </w:rPr>
        <w:t xml:space="preserve"> studijní oddělení (SO) všem garantům jednotlivých VP žádost o </w:t>
      </w:r>
      <w:r w:rsidRPr="00FD0C7F">
        <w:rPr>
          <w:rFonts w:ascii="Calibri" w:hAnsi="Calibri"/>
        </w:rPr>
        <w:t xml:space="preserve">kontrolu stávajících VP s žádostí o zaslání, resp. provedení úprav a změn na </w:t>
      </w:r>
      <w:proofErr w:type="spellStart"/>
      <w:r w:rsidRPr="00FD0C7F">
        <w:rPr>
          <w:rFonts w:ascii="Calibri" w:hAnsi="Calibri"/>
        </w:rPr>
        <w:t>SISu</w:t>
      </w:r>
      <w:proofErr w:type="spellEnd"/>
      <w:r w:rsidRPr="002C0CD0">
        <w:rPr>
          <w:rFonts w:ascii="Calibri" w:hAnsi="Calibri"/>
        </w:rPr>
        <w:t xml:space="preserve"> a změn pro nový akademický rok</w:t>
      </w:r>
      <w:r w:rsidR="002D51B7">
        <w:rPr>
          <w:rFonts w:ascii="Calibri" w:hAnsi="Calibri"/>
        </w:rPr>
        <w:t xml:space="preserve">, dále doplnění formy a zaměření </w:t>
      </w:r>
      <w:r w:rsidR="00943FA8">
        <w:rPr>
          <w:rFonts w:ascii="Calibri" w:hAnsi="Calibri"/>
        </w:rPr>
        <w:t>předmětu</w:t>
      </w:r>
      <w:r w:rsidRPr="002C0CD0">
        <w:rPr>
          <w:rFonts w:ascii="Calibri" w:hAnsi="Calibri"/>
        </w:rPr>
        <w:t xml:space="preserve"> (termín odevzdání úprav </w:t>
      </w:r>
      <w:r w:rsidR="002D51B7">
        <w:rPr>
          <w:rFonts w:ascii="Calibri" w:hAnsi="Calibri"/>
        </w:rPr>
        <w:t xml:space="preserve">byl </w:t>
      </w:r>
      <w:r w:rsidRPr="002C0CD0">
        <w:rPr>
          <w:rFonts w:ascii="Calibri" w:hAnsi="Calibri"/>
        </w:rPr>
        <w:t>do</w:t>
      </w:r>
      <w:r>
        <w:rPr>
          <w:rFonts w:ascii="Calibri" w:hAnsi="Calibri"/>
        </w:rPr>
        <w:t xml:space="preserve"> </w:t>
      </w:r>
      <w:r w:rsidR="00241CF3">
        <w:rPr>
          <w:rFonts w:ascii="Calibri" w:hAnsi="Calibri"/>
        </w:rPr>
        <w:t>29</w:t>
      </w:r>
      <w:r w:rsidR="00FD0C7F">
        <w:rPr>
          <w:rFonts w:ascii="Calibri" w:hAnsi="Calibri"/>
        </w:rPr>
        <w:t>.04.</w:t>
      </w:r>
      <w:r w:rsidRPr="002C0CD0">
        <w:rPr>
          <w:rFonts w:ascii="Calibri" w:hAnsi="Calibri"/>
        </w:rPr>
        <w:t>).</w:t>
      </w:r>
      <w:r w:rsidR="00943FA8">
        <w:rPr>
          <w:rFonts w:ascii="Calibri" w:hAnsi="Calibri"/>
        </w:rPr>
        <w:t xml:space="preserve"> V uvedeném termínu bylo ze strany garantů doplněno necelých </w:t>
      </w:r>
      <w:proofErr w:type="gramStart"/>
      <w:r w:rsidR="00943FA8">
        <w:rPr>
          <w:rFonts w:ascii="Calibri" w:hAnsi="Calibri"/>
        </w:rPr>
        <w:t>10%</w:t>
      </w:r>
      <w:proofErr w:type="gramEnd"/>
      <w:r w:rsidR="00943FA8">
        <w:rPr>
          <w:rFonts w:ascii="Calibri" w:hAnsi="Calibri"/>
        </w:rPr>
        <w:t xml:space="preserve"> předmětů. Do tabulky byla z toho</w:t>
      </w:r>
      <w:r w:rsidR="001E61F7">
        <w:rPr>
          <w:rFonts w:ascii="Calibri" w:hAnsi="Calibri"/>
        </w:rPr>
        <w:t>to</w:t>
      </w:r>
      <w:r w:rsidR="00943FA8">
        <w:rPr>
          <w:rFonts w:ascii="Calibri" w:hAnsi="Calibri"/>
        </w:rPr>
        <w:t xml:space="preserve"> důvodu přidána položka Garantující pracoviště</w:t>
      </w:r>
      <w:r w:rsidR="001E61F7">
        <w:rPr>
          <w:rFonts w:ascii="Calibri" w:hAnsi="Calibri"/>
        </w:rPr>
        <w:t xml:space="preserve"> a pracoviště byla znovu kontaktována.</w:t>
      </w:r>
    </w:p>
    <w:p w:rsidR="005E6388" w:rsidRPr="003E5C75" w:rsidRDefault="005E6388" w:rsidP="005E6388">
      <w:pPr>
        <w:numPr>
          <w:ilvl w:val="0"/>
          <w:numId w:val="1"/>
        </w:numPr>
        <w:jc w:val="both"/>
        <w:rPr>
          <w:rFonts w:ascii="Calibri" w:hAnsi="Calibri"/>
          <w:b/>
        </w:rPr>
      </w:pPr>
      <w:r w:rsidRPr="002C0CD0">
        <w:rPr>
          <w:rFonts w:ascii="Calibri" w:hAnsi="Calibri"/>
        </w:rPr>
        <w:t>Kontroly a úpravy si garant provádí přes SIS.</w:t>
      </w:r>
      <w:r w:rsidR="00D202B1">
        <w:rPr>
          <w:rFonts w:ascii="Calibri" w:hAnsi="Calibri"/>
        </w:rPr>
        <w:t xml:space="preserve"> </w:t>
      </w:r>
      <w:r w:rsidR="00D202B1" w:rsidRPr="003E5C75">
        <w:rPr>
          <w:rFonts w:ascii="Calibri" w:hAnsi="Calibri"/>
          <w:b/>
        </w:rPr>
        <w:t>Sylabus a anotace upravuje studijní oddělení na žádost garanta předmětu.</w:t>
      </w:r>
    </w:p>
    <w:p w:rsidR="005E6388" w:rsidRPr="002C0CD0" w:rsidRDefault="005E6388" w:rsidP="005E6388">
      <w:pPr>
        <w:numPr>
          <w:ilvl w:val="0"/>
          <w:numId w:val="1"/>
        </w:numPr>
        <w:jc w:val="both"/>
        <w:rPr>
          <w:rFonts w:ascii="Calibri" w:hAnsi="Calibri"/>
        </w:rPr>
      </w:pPr>
      <w:r w:rsidRPr="002C0CD0">
        <w:rPr>
          <w:rFonts w:ascii="Calibri" w:hAnsi="Calibri"/>
        </w:rPr>
        <w:t>Aktualizovaný seznam VP před zveřejněním rozešle SO vyučujícím k poslední kontrole (referentka pro VP – paní Holanová).</w:t>
      </w:r>
    </w:p>
    <w:p w:rsidR="005E6388" w:rsidRPr="002C0CD0" w:rsidRDefault="005E6388" w:rsidP="005E6388">
      <w:pPr>
        <w:numPr>
          <w:ilvl w:val="0"/>
          <w:numId w:val="1"/>
        </w:numPr>
        <w:jc w:val="both"/>
        <w:rPr>
          <w:rFonts w:ascii="Calibri" w:hAnsi="Calibri"/>
          <w:iCs/>
        </w:rPr>
      </w:pPr>
      <w:r w:rsidRPr="002C0CD0">
        <w:rPr>
          <w:rFonts w:ascii="Calibri" w:hAnsi="Calibri"/>
        </w:rPr>
        <w:t xml:space="preserve">V případě žádosti o </w:t>
      </w:r>
      <w:r w:rsidRPr="003E5C75">
        <w:rPr>
          <w:rFonts w:ascii="Calibri" w:hAnsi="Calibri"/>
        </w:rPr>
        <w:t>zařazení nového VP</w:t>
      </w:r>
      <w:r w:rsidRPr="002C0CD0">
        <w:rPr>
          <w:rFonts w:ascii="Calibri" w:hAnsi="Calibri"/>
        </w:rPr>
        <w:t xml:space="preserve"> učitel požádá SO (proděkana) o zřízení předmětu, </w:t>
      </w:r>
      <w:r>
        <w:rPr>
          <w:rFonts w:ascii="Calibri" w:hAnsi="Calibri"/>
        </w:rPr>
        <w:t>v</w:t>
      </w:r>
      <w:r w:rsidRPr="002C0CD0">
        <w:rPr>
          <w:rFonts w:ascii="Calibri" w:hAnsi="Calibri"/>
        </w:rPr>
        <w:t> žádosti uvede požadované informace (název v </w:t>
      </w:r>
      <w:proofErr w:type="spellStart"/>
      <w:r w:rsidRPr="002C0CD0">
        <w:rPr>
          <w:rFonts w:ascii="Calibri" w:hAnsi="Calibri"/>
        </w:rPr>
        <w:t>čj</w:t>
      </w:r>
      <w:proofErr w:type="spellEnd"/>
      <w:r w:rsidRPr="002C0CD0">
        <w:rPr>
          <w:rFonts w:ascii="Calibri" w:hAnsi="Calibri"/>
        </w:rPr>
        <w:t xml:space="preserve"> a aj, garanta, hodinovou a kreditní dotaci, </w:t>
      </w:r>
      <w:proofErr w:type="spellStart"/>
      <w:r w:rsidRPr="002C0CD0">
        <w:rPr>
          <w:rFonts w:ascii="Calibri" w:hAnsi="Calibri"/>
        </w:rPr>
        <w:t>prerekvizity</w:t>
      </w:r>
      <w:proofErr w:type="spellEnd"/>
      <w:r w:rsidRPr="002C0CD0">
        <w:rPr>
          <w:rFonts w:ascii="Calibri" w:hAnsi="Calibri"/>
        </w:rPr>
        <w:t xml:space="preserve">, komu předmět určen atd.) </w:t>
      </w:r>
      <w:r>
        <w:rPr>
          <w:rFonts w:ascii="Calibri" w:hAnsi="Calibri"/>
        </w:rPr>
        <w:t xml:space="preserve">a připojí souhlas přednosty ústavu/ kliniky který bude garantovat výuku nového VP. </w:t>
      </w:r>
      <w:r w:rsidRPr="002C0CD0">
        <w:rPr>
          <w:rFonts w:ascii="Calibri" w:hAnsi="Calibri"/>
        </w:rPr>
        <w:t xml:space="preserve">Registrace nových VP podléhá schválení na kolegiu děkana. </w:t>
      </w:r>
    </w:p>
    <w:p w:rsidR="005E6388" w:rsidRPr="00A7589C" w:rsidRDefault="005E6388" w:rsidP="005E6388">
      <w:pPr>
        <w:numPr>
          <w:ilvl w:val="0"/>
          <w:numId w:val="1"/>
        </w:numPr>
        <w:jc w:val="both"/>
        <w:rPr>
          <w:rFonts w:ascii="Calibri" w:hAnsi="Calibri"/>
          <w:iCs/>
        </w:rPr>
      </w:pPr>
      <w:r w:rsidRPr="002C0CD0">
        <w:rPr>
          <w:rFonts w:ascii="Calibri" w:hAnsi="Calibri"/>
        </w:rPr>
        <w:t xml:space="preserve">Finální verze se </w:t>
      </w:r>
      <w:r>
        <w:rPr>
          <w:rFonts w:ascii="Calibri" w:hAnsi="Calibri"/>
        </w:rPr>
        <w:t xml:space="preserve">zveřejňuje v červnu na webu fakulty </w:t>
      </w:r>
    </w:p>
    <w:p w:rsidR="00A7589C" w:rsidRPr="002C0CD0" w:rsidRDefault="00A7589C" w:rsidP="00A7589C">
      <w:pPr>
        <w:numPr>
          <w:ilvl w:val="0"/>
          <w:numId w:val="1"/>
        </w:numPr>
        <w:jc w:val="both"/>
        <w:rPr>
          <w:rFonts w:ascii="Calibri" w:hAnsi="Calibri"/>
          <w:iCs/>
        </w:rPr>
      </w:pPr>
      <w:r w:rsidRPr="00A7589C">
        <w:rPr>
          <w:rFonts w:ascii="Calibri" w:hAnsi="Calibri"/>
          <w:iCs/>
        </w:rPr>
        <w:t xml:space="preserve">Dle Studijního a zkušebního řádu UK a Pravidel pro organizaci studia 1. LF UK musí být </w:t>
      </w:r>
      <w:r w:rsidRPr="00273FC9">
        <w:rPr>
          <w:rFonts w:ascii="Calibri" w:hAnsi="Calibri"/>
          <w:iCs/>
        </w:rPr>
        <w:t>u</w:t>
      </w:r>
      <w:r w:rsidRPr="00A7589C">
        <w:rPr>
          <w:rFonts w:ascii="Calibri" w:hAnsi="Calibri"/>
          <w:b/>
          <w:iCs/>
        </w:rPr>
        <w:t xml:space="preserve"> </w:t>
      </w:r>
      <w:r w:rsidRPr="00273FC9">
        <w:rPr>
          <w:rFonts w:ascii="Calibri" w:hAnsi="Calibri"/>
          <w:iCs/>
        </w:rPr>
        <w:t>každého předmětu</w:t>
      </w:r>
      <w:r w:rsidRPr="00A7589C">
        <w:rPr>
          <w:rFonts w:ascii="Calibri" w:hAnsi="Calibri"/>
          <w:iCs/>
        </w:rPr>
        <w:t xml:space="preserve"> před zahájením výuky v daném akademickém roce v </w:t>
      </w:r>
      <w:proofErr w:type="spellStart"/>
      <w:r w:rsidRPr="00A7589C">
        <w:rPr>
          <w:rFonts w:ascii="Calibri" w:hAnsi="Calibri"/>
          <w:iCs/>
        </w:rPr>
        <w:t>SISu</w:t>
      </w:r>
      <w:proofErr w:type="spellEnd"/>
      <w:r w:rsidRPr="00A7589C">
        <w:rPr>
          <w:rFonts w:ascii="Calibri" w:hAnsi="Calibri"/>
          <w:iCs/>
        </w:rPr>
        <w:t xml:space="preserve"> uvedeny informace o předmětu: anotace, povinná literatura, základní požadavky pro splnění kontrol studia (zápočet, klasifikovaný zápočet, zkouška vč. zkušebních otázek či okruhů, požadavků na prezenci apod.) a další důležité informace.  </w:t>
      </w:r>
    </w:p>
    <w:p w:rsidR="005E6388" w:rsidRPr="002C0CD0" w:rsidRDefault="005E6388" w:rsidP="005E6388">
      <w:pPr>
        <w:rPr>
          <w:rFonts w:ascii="Calibri" w:hAnsi="Calibri"/>
        </w:rPr>
      </w:pPr>
    </w:p>
    <w:p w:rsidR="005E6388" w:rsidRPr="00A7589C" w:rsidRDefault="005E6388" w:rsidP="005E6388">
      <w:pPr>
        <w:rPr>
          <w:rFonts w:ascii="Calibri" w:hAnsi="Calibri"/>
          <w:b/>
          <w:u w:val="single"/>
        </w:rPr>
      </w:pPr>
      <w:r w:rsidRPr="00A7589C">
        <w:rPr>
          <w:rFonts w:ascii="Calibri" w:hAnsi="Calibri"/>
          <w:b/>
          <w:u w:val="single"/>
        </w:rPr>
        <w:t>Postup při zápisu volitelných předmětů na akademický rok 20</w:t>
      </w:r>
      <w:r w:rsidR="00D202B1">
        <w:rPr>
          <w:rFonts w:ascii="Calibri" w:hAnsi="Calibri"/>
          <w:b/>
          <w:u w:val="single"/>
        </w:rPr>
        <w:t>2</w:t>
      </w:r>
      <w:r w:rsidR="005C099A">
        <w:rPr>
          <w:rFonts w:ascii="Calibri" w:hAnsi="Calibri"/>
          <w:b/>
          <w:u w:val="single"/>
        </w:rPr>
        <w:t>2</w:t>
      </w:r>
      <w:r w:rsidRPr="00A7589C">
        <w:rPr>
          <w:rFonts w:ascii="Calibri" w:hAnsi="Calibri"/>
          <w:b/>
          <w:u w:val="single"/>
        </w:rPr>
        <w:t>/202</w:t>
      </w:r>
      <w:r w:rsidR="005C099A">
        <w:rPr>
          <w:rFonts w:ascii="Calibri" w:hAnsi="Calibri"/>
          <w:b/>
          <w:u w:val="single"/>
        </w:rPr>
        <w:t>3</w:t>
      </w:r>
      <w:r w:rsidRPr="00A7589C">
        <w:rPr>
          <w:rFonts w:ascii="Calibri" w:hAnsi="Calibri"/>
          <w:b/>
          <w:u w:val="single"/>
        </w:rPr>
        <w:t>:</w:t>
      </w:r>
    </w:p>
    <w:p w:rsidR="005E6388" w:rsidRPr="002C0CD0" w:rsidRDefault="005E6388" w:rsidP="005E6388">
      <w:pPr>
        <w:rPr>
          <w:rFonts w:ascii="Calibri" w:hAnsi="Calibri"/>
          <w:u w:val="single"/>
        </w:rPr>
      </w:pPr>
    </w:p>
    <w:p w:rsidR="005E6388" w:rsidRPr="009D08CE" w:rsidRDefault="005E6388" w:rsidP="005E6388">
      <w:pPr>
        <w:pStyle w:val="Normlnweb"/>
        <w:numPr>
          <w:ilvl w:val="0"/>
          <w:numId w:val="2"/>
        </w:numPr>
        <w:shd w:val="clear" w:color="auto" w:fill="FFFFFF"/>
        <w:spacing w:before="0" w:beforeAutospacing="0"/>
        <w:jc w:val="both"/>
        <w:rPr>
          <w:rStyle w:val="Siln"/>
          <w:rFonts w:ascii="Calibri" w:hAnsi="Calibri"/>
          <w:b w:val="0"/>
          <w:bCs w:val="0"/>
        </w:rPr>
      </w:pPr>
      <w:r w:rsidRPr="00112579">
        <w:rPr>
          <w:rStyle w:val="Siln"/>
          <w:rFonts w:ascii="Calibri" w:hAnsi="Calibri"/>
          <w:b w:val="0"/>
        </w:rPr>
        <w:t xml:space="preserve">Nabídka předmětů </w:t>
      </w:r>
      <w:r w:rsidR="003E5309">
        <w:rPr>
          <w:rStyle w:val="Siln"/>
          <w:rFonts w:ascii="Calibri" w:hAnsi="Calibri"/>
          <w:b w:val="0"/>
        </w:rPr>
        <w:t>je</w:t>
      </w:r>
      <w:r w:rsidRPr="00112579">
        <w:rPr>
          <w:rStyle w:val="Siln"/>
          <w:rFonts w:ascii="Calibri" w:hAnsi="Calibri"/>
          <w:b w:val="0"/>
        </w:rPr>
        <w:t xml:space="preserve"> zveřej</w:t>
      </w:r>
      <w:r w:rsidR="003E5309">
        <w:rPr>
          <w:rStyle w:val="Siln"/>
          <w:rFonts w:ascii="Calibri" w:hAnsi="Calibri"/>
          <w:b w:val="0"/>
        </w:rPr>
        <w:t>něná</w:t>
      </w:r>
      <w:r w:rsidRPr="00112579">
        <w:rPr>
          <w:rStyle w:val="Siln"/>
          <w:rFonts w:ascii="Calibri" w:hAnsi="Calibri"/>
          <w:b w:val="0"/>
        </w:rPr>
        <w:t> v </w:t>
      </w:r>
      <w:proofErr w:type="spellStart"/>
      <w:r w:rsidRPr="00112579">
        <w:rPr>
          <w:rStyle w:val="Siln"/>
          <w:rFonts w:ascii="Calibri" w:hAnsi="Calibri"/>
          <w:b w:val="0"/>
        </w:rPr>
        <w:t>SISu</w:t>
      </w:r>
      <w:proofErr w:type="spellEnd"/>
      <w:r w:rsidRPr="00112579">
        <w:rPr>
          <w:rStyle w:val="Siln"/>
          <w:rFonts w:ascii="Calibri" w:hAnsi="Calibri"/>
          <w:b w:val="0"/>
        </w:rPr>
        <w:t xml:space="preserve"> a na webu fakulty</w:t>
      </w:r>
    </w:p>
    <w:p w:rsidR="005E6388" w:rsidRDefault="001A5F68" w:rsidP="005E6388">
      <w:pPr>
        <w:pStyle w:val="Normlnweb"/>
        <w:numPr>
          <w:ilvl w:val="0"/>
          <w:numId w:val="2"/>
        </w:numPr>
        <w:shd w:val="clear" w:color="auto" w:fill="FFFFFF"/>
        <w:spacing w:before="0" w:beforeAutospacing="0"/>
        <w:jc w:val="both"/>
        <w:rPr>
          <w:rFonts w:ascii="Calibri" w:hAnsi="Calibri"/>
        </w:rPr>
      </w:pPr>
      <w:r>
        <w:rPr>
          <w:rFonts w:ascii="Calibri" w:hAnsi="Calibri"/>
        </w:rPr>
        <w:t xml:space="preserve">Zápis VP se </w:t>
      </w:r>
      <w:r w:rsidR="005E6388" w:rsidRPr="002C0CD0">
        <w:rPr>
          <w:rStyle w:val="Siln"/>
          <w:rFonts w:ascii="Calibri" w:hAnsi="Calibri"/>
          <w:b w:val="0"/>
        </w:rPr>
        <w:t xml:space="preserve">děje prostřednictvím </w:t>
      </w:r>
      <w:proofErr w:type="spellStart"/>
      <w:r w:rsidR="005E6388" w:rsidRPr="002C0CD0">
        <w:rPr>
          <w:rStyle w:val="Siln"/>
          <w:rFonts w:ascii="Calibri" w:hAnsi="Calibri"/>
          <w:b w:val="0"/>
        </w:rPr>
        <w:t>SISu</w:t>
      </w:r>
      <w:proofErr w:type="spellEnd"/>
      <w:r w:rsidR="005E6388" w:rsidRPr="002C0CD0">
        <w:rPr>
          <w:rFonts w:ascii="Calibri" w:hAnsi="Calibri"/>
        </w:rPr>
        <w:t xml:space="preserve"> a je možný po splnění v</w:t>
      </w:r>
      <w:r w:rsidR="00D202B1">
        <w:rPr>
          <w:rFonts w:ascii="Calibri" w:hAnsi="Calibri"/>
        </w:rPr>
        <w:t>šech studijních povinností, vyjm</w:t>
      </w:r>
      <w:r w:rsidR="005E6388" w:rsidRPr="002C0CD0">
        <w:rPr>
          <w:rFonts w:ascii="Calibri" w:hAnsi="Calibri"/>
        </w:rPr>
        <w:t xml:space="preserve">a prázdninové praxe, letního výcvikového kurzu, kurzu sportovní a rekondiční masáže a </w:t>
      </w:r>
      <w:proofErr w:type="spellStart"/>
      <w:r w:rsidR="005E6388" w:rsidRPr="002C0CD0">
        <w:rPr>
          <w:rFonts w:ascii="Calibri" w:hAnsi="Calibri"/>
        </w:rPr>
        <w:t>SRZk</w:t>
      </w:r>
      <w:proofErr w:type="spellEnd"/>
      <w:r w:rsidR="005E6388" w:rsidRPr="002C0CD0">
        <w:rPr>
          <w:rFonts w:ascii="Calibri" w:hAnsi="Calibri"/>
        </w:rPr>
        <w:t xml:space="preserve">, které je možno plnit během prázdnin do konce zkouškového </w:t>
      </w:r>
      <w:proofErr w:type="gramStart"/>
      <w:r w:rsidR="005E6388" w:rsidRPr="002C0CD0">
        <w:rPr>
          <w:rFonts w:ascii="Calibri" w:hAnsi="Calibri"/>
        </w:rPr>
        <w:t xml:space="preserve">období  </w:t>
      </w:r>
      <w:proofErr w:type="spellStart"/>
      <w:r w:rsidR="005E6388" w:rsidRPr="002C0CD0">
        <w:rPr>
          <w:rFonts w:ascii="Calibri" w:hAnsi="Calibri"/>
        </w:rPr>
        <w:t>ak</w:t>
      </w:r>
      <w:proofErr w:type="spellEnd"/>
      <w:r w:rsidR="005E6388" w:rsidRPr="002C0CD0">
        <w:rPr>
          <w:rFonts w:ascii="Calibri" w:hAnsi="Calibri"/>
        </w:rPr>
        <w:t>.</w:t>
      </w:r>
      <w:proofErr w:type="gramEnd"/>
      <w:r w:rsidR="005E6388" w:rsidRPr="002C0CD0">
        <w:rPr>
          <w:rFonts w:ascii="Calibri" w:hAnsi="Calibri"/>
        </w:rPr>
        <w:t xml:space="preserve"> roku. </w:t>
      </w:r>
    </w:p>
    <w:p w:rsidR="005E6388" w:rsidRPr="00E5542C" w:rsidRDefault="005E6388" w:rsidP="001E61F7">
      <w:pPr>
        <w:pStyle w:val="Normlnweb"/>
        <w:shd w:val="clear" w:color="auto" w:fill="FFFFFF"/>
        <w:spacing w:before="0" w:beforeAutospacing="0" w:after="0" w:afterAutospacing="0"/>
        <w:ind w:left="720"/>
        <w:rPr>
          <w:rFonts w:ascii="Calibri" w:hAnsi="Calibri" w:cs="Arial"/>
          <w:b/>
          <w:color w:val="000000"/>
        </w:rPr>
      </w:pPr>
      <w:r w:rsidRPr="00E5542C">
        <w:rPr>
          <w:rFonts w:ascii="Calibri" w:hAnsi="Calibri" w:cs="Arial"/>
          <w:b/>
          <w:bCs/>
          <w:color w:val="000000"/>
        </w:rPr>
        <w:t xml:space="preserve">VP ZIMNÍ </w:t>
      </w:r>
      <w:proofErr w:type="gramStart"/>
      <w:r w:rsidRPr="00E5542C">
        <w:rPr>
          <w:rFonts w:ascii="Calibri" w:hAnsi="Calibri" w:cs="Arial"/>
          <w:b/>
          <w:bCs/>
          <w:color w:val="000000"/>
        </w:rPr>
        <w:t>SEMESTR - TERMÍNY</w:t>
      </w:r>
      <w:proofErr w:type="gramEnd"/>
      <w:r w:rsidRPr="00E5542C">
        <w:rPr>
          <w:rFonts w:ascii="Calibri" w:hAnsi="Calibri" w:cs="Arial"/>
          <w:b/>
          <w:bCs/>
          <w:color w:val="000000"/>
        </w:rPr>
        <w:t xml:space="preserve"> ZÁPISU VOLITELNÝCH PŘEDMĚTŮ</w:t>
      </w:r>
    </w:p>
    <w:p w:rsidR="005E6388" w:rsidRPr="001A5F68" w:rsidRDefault="00D202B1" w:rsidP="001E61F7">
      <w:pPr>
        <w:pStyle w:val="Normlnweb"/>
        <w:numPr>
          <w:ilvl w:val="0"/>
          <w:numId w:val="3"/>
        </w:numPr>
        <w:shd w:val="clear" w:color="auto" w:fill="FFFFFF"/>
        <w:spacing w:before="0" w:beforeAutospacing="0" w:after="0" w:afterAutospacing="0"/>
        <w:rPr>
          <w:rFonts w:ascii="Calibri" w:hAnsi="Calibri" w:cs="Arial"/>
          <w:color w:val="000000"/>
        </w:rPr>
      </w:pPr>
      <w:r>
        <w:rPr>
          <w:rFonts w:ascii="Calibri" w:hAnsi="Calibri" w:cs="Arial"/>
          <w:color w:val="000000"/>
        </w:rPr>
        <w:t xml:space="preserve">Zápis VP na zimní semestr </w:t>
      </w:r>
      <w:r w:rsidR="00B55836">
        <w:rPr>
          <w:rFonts w:ascii="Calibri" w:hAnsi="Calibri" w:cs="Arial"/>
          <w:color w:val="000000"/>
        </w:rPr>
        <w:t>20</w:t>
      </w:r>
      <w:r w:rsidR="005E6388" w:rsidRPr="001A5F68">
        <w:rPr>
          <w:rFonts w:ascii="Calibri" w:hAnsi="Calibri" w:cs="Arial"/>
          <w:color w:val="000000"/>
        </w:rPr>
        <w:t>2</w:t>
      </w:r>
      <w:r w:rsidR="005C099A">
        <w:rPr>
          <w:rFonts w:ascii="Calibri" w:hAnsi="Calibri" w:cs="Arial"/>
          <w:color w:val="000000"/>
        </w:rPr>
        <w:t>2</w:t>
      </w:r>
      <w:r w:rsidR="00B55836">
        <w:rPr>
          <w:rFonts w:ascii="Calibri" w:hAnsi="Calibri" w:cs="Arial"/>
          <w:color w:val="000000"/>
        </w:rPr>
        <w:t>/202</w:t>
      </w:r>
      <w:r w:rsidR="005C099A">
        <w:rPr>
          <w:rFonts w:ascii="Calibri" w:hAnsi="Calibri" w:cs="Arial"/>
          <w:color w:val="000000"/>
        </w:rPr>
        <w:t xml:space="preserve">3 </w:t>
      </w:r>
      <w:r w:rsidR="005E6388" w:rsidRPr="001A5F68">
        <w:rPr>
          <w:rFonts w:ascii="Calibri" w:hAnsi="Calibri" w:cs="Arial"/>
          <w:color w:val="000000"/>
        </w:rPr>
        <w:t xml:space="preserve">pro ty, co splnili studijní povinnosti, </w:t>
      </w:r>
      <w:r w:rsidR="001A5F68">
        <w:rPr>
          <w:rFonts w:ascii="Calibri" w:hAnsi="Calibri" w:cs="Arial"/>
          <w:color w:val="000000"/>
        </w:rPr>
        <w:t>b</w:t>
      </w:r>
      <w:r>
        <w:rPr>
          <w:rFonts w:ascii="Calibri" w:hAnsi="Calibri" w:cs="Arial"/>
          <w:color w:val="000000"/>
        </w:rPr>
        <w:t>ude</w:t>
      </w:r>
      <w:r w:rsidR="001A5F68">
        <w:rPr>
          <w:rFonts w:ascii="Calibri" w:hAnsi="Calibri" w:cs="Arial"/>
          <w:color w:val="000000"/>
        </w:rPr>
        <w:t xml:space="preserve"> </w:t>
      </w:r>
      <w:r w:rsidR="005E6388" w:rsidRPr="001A5F68">
        <w:rPr>
          <w:rFonts w:ascii="Calibri" w:hAnsi="Calibri" w:cs="Arial"/>
          <w:color w:val="000000"/>
        </w:rPr>
        <w:t>možný od </w:t>
      </w:r>
      <w:r>
        <w:rPr>
          <w:rFonts w:ascii="Calibri" w:hAnsi="Calibri" w:cs="Arial"/>
          <w:bCs/>
          <w:color w:val="000000"/>
        </w:rPr>
        <w:t>20. 07. 202</w:t>
      </w:r>
      <w:r w:rsidR="005C099A">
        <w:rPr>
          <w:rFonts w:ascii="Calibri" w:hAnsi="Calibri" w:cs="Arial"/>
          <w:bCs/>
          <w:color w:val="000000"/>
        </w:rPr>
        <w:t>2</w:t>
      </w:r>
      <w:r w:rsidR="005E6388" w:rsidRPr="001A5F68">
        <w:rPr>
          <w:rFonts w:ascii="Calibri" w:hAnsi="Calibri" w:cs="Arial"/>
          <w:bCs/>
          <w:color w:val="000000"/>
        </w:rPr>
        <w:t xml:space="preserve"> (od 09.00 hod.) do </w:t>
      </w:r>
      <w:r w:rsidR="0061520B">
        <w:rPr>
          <w:rFonts w:ascii="Calibri" w:hAnsi="Calibri" w:cs="Arial"/>
          <w:bCs/>
          <w:color w:val="000000"/>
        </w:rPr>
        <w:t>0</w:t>
      </w:r>
      <w:r w:rsidR="005C099A">
        <w:rPr>
          <w:rFonts w:ascii="Calibri" w:hAnsi="Calibri" w:cs="Arial"/>
          <w:bCs/>
          <w:color w:val="000000"/>
        </w:rPr>
        <w:t>7</w:t>
      </w:r>
      <w:r w:rsidR="005E6388" w:rsidRPr="001A5F68">
        <w:rPr>
          <w:rFonts w:ascii="Calibri" w:hAnsi="Calibri" w:cs="Arial"/>
          <w:bCs/>
          <w:color w:val="000000"/>
        </w:rPr>
        <w:t>. 10. 20</w:t>
      </w:r>
      <w:r>
        <w:rPr>
          <w:rFonts w:ascii="Calibri" w:hAnsi="Calibri" w:cs="Arial"/>
          <w:bCs/>
          <w:color w:val="000000"/>
        </w:rPr>
        <w:t>2</w:t>
      </w:r>
      <w:r w:rsidR="005C099A">
        <w:rPr>
          <w:rFonts w:ascii="Calibri" w:hAnsi="Calibri" w:cs="Arial"/>
          <w:bCs/>
          <w:color w:val="000000"/>
        </w:rPr>
        <w:t>2</w:t>
      </w:r>
      <w:r w:rsidR="005E6388" w:rsidRPr="001A5F68">
        <w:rPr>
          <w:rFonts w:ascii="Calibri" w:hAnsi="Calibri" w:cs="Arial"/>
          <w:color w:val="000000"/>
        </w:rPr>
        <w:t>.</w:t>
      </w:r>
    </w:p>
    <w:p w:rsidR="005E6388" w:rsidRDefault="005E6388" w:rsidP="001E61F7">
      <w:pPr>
        <w:pStyle w:val="Normlnweb"/>
        <w:numPr>
          <w:ilvl w:val="0"/>
          <w:numId w:val="3"/>
        </w:numPr>
        <w:shd w:val="clear" w:color="auto" w:fill="FFFFFF"/>
        <w:spacing w:before="0" w:beforeAutospacing="0" w:after="0" w:afterAutospacing="0"/>
        <w:rPr>
          <w:rFonts w:ascii="Calibri" w:hAnsi="Calibri" w:cs="Arial"/>
          <w:bCs/>
          <w:color w:val="000000"/>
        </w:rPr>
      </w:pPr>
      <w:r w:rsidRPr="001A5F68">
        <w:rPr>
          <w:rFonts w:ascii="Calibri" w:hAnsi="Calibri" w:cs="Arial"/>
          <w:color w:val="000000"/>
        </w:rPr>
        <w:t xml:space="preserve">Zápis VP </w:t>
      </w:r>
      <w:r w:rsidR="001A5F68">
        <w:rPr>
          <w:rFonts w:ascii="Calibri" w:hAnsi="Calibri" w:cs="Arial"/>
          <w:color w:val="000000"/>
        </w:rPr>
        <w:t xml:space="preserve">pro </w:t>
      </w:r>
      <w:r w:rsidR="00E5542C">
        <w:rPr>
          <w:rFonts w:ascii="Calibri" w:hAnsi="Calibri" w:cs="Arial"/>
          <w:color w:val="000000"/>
        </w:rPr>
        <w:t>všechny studenty</w:t>
      </w:r>
      <w:r w:rsidR="001A5F68">
        <w:rPr>
          <w:rFonts w:ascii="Calibri" w:hAnsi="Calibri" w:cs="Arial"/>
          <w:color w:val="000000"/>
        </w:rPr>
        <w:t xml:space="preserve">, včetně </w:t>
      </w:r>
      <w:r w:rsidRPr="001A5F68">
        <w:rPr>
          <w:rFonts w:ascii="Calibri" w:hAnsi="Calibri" w:cs="Arial"/>
          <w:color w:val="000000"/>
        </w:rPr>
        <w:t>nově přijatých studentů 1. ročníku 20</w:t>
      </w:r>
      <w:r w:rsidR="00D202B1">
        <w:rPr>
          <w:rFonts w:ascii="Calibri" w:hAnsi="Calibri" w:cs="Arial"/>
          <w:color w:val="000000"/>
        </w:rPr>
        <w:t>2</w:t>
      </w:r>
      <w:r w:rsidR="005C099A">
        <w:rPr>
          <w:rFonts w:ascii="Calibri" w:hAnsi="Calibri" w:cs="Arial"/>
          <w:color w:val="000000"/>
        </w:rPr>
        <w:t>2</w:t>
      </w:r>
      <w:r w:rsidRPr="001A5F68">
        <w:rPr>
          <w:rFonts w:ascii="Calibri" w:hAnsi="Calibri" w:cs="Arial"/>
          <w:color w:val="000000"/>
        </w:rPr>
        <w:t>/202</w:t>
      </w:r>
      <w:r w:rsidR="005C099A">
        <w:rPr>
          <w:rFonts w:ascii="Calibri" w:hAnsi="Calibri" w:cs="Arial"/>
          <w:color w:val="000000"/>
        </w:rPr>
        <w:t>3</w:t>
      </w:r>
      <w:r w:rsidR="00E5542C">
        <w:rPr>
          <w:rFonts w:ascii="Calibri" w:hAnsi="Calibri" w:cs="Arial"/>
          <w:color w:val="000000"/>
        </w:rPr>
        <w:t xml:space="preserve"> </w:t>
      </w:r>
      <w:r w:rsidRPr="001A5F68">
        <w:rPr>
          <w:rFonts w:ascii="Calibri" w:hAnsi="Calibri" w:cs="Arial"/>
          <w:color w:val="000000"/>
        </w:rPr>
        <w:t>od </w:t>
      </w:r>
      <w:r w:rsidR="005C099A">
        <w:rPr>
          <w:rFonts w:ascii="Calibri" w:hAnsi="Calibri" w:cs="Arial"/>
          <w:bCs/>
          <w:color w:val="000000"/>
        </w:rPr>
        <w:t>19</w:t>
      </w:r>
      <w:r w:rsidRPr="001A5F68">
        <w:rPr>
          <w:rFonts w:ascii="Calibri" w:hAnsi="Calibri" w:cs="Arial"/>
          <w:bCs/>
          <w:color w:val="000000"/>
        </w:rPr>
        <w:t>. 09. 20</w:t>
      </w:r>
      <w:r w:rsidR="00C15A29">
        <w:rPr>
          <w:rFonts w:ascii="Calibri" w:hAnsi="Calibri" w:cs="Arial"/>
          <w:bCs/>
          <w:color w:val="000000"/>
        </w:rPr>
        <w:t>2</w:t>
      </w:r>
      <w:r w:rsidR="005C099A">
        <w:rPr>
          <w:rFonts w:ascii="Calibri" w:hAnsi="Calibri" w:cs="Arial"/>
          <w:bCs/>
          <w:color w:val="000000"/>
        </w:rPr>
        <w:t>2</w:t>
      </w:r>
      <w:r w:rsidRPr="001A5F68">
        <w:rPr>
          <w:rFonts w:ascii="Calibri" w:hAnsi="Calibri" w:cs="Arial"/>
          <w:bCs/>
          <w:color w:val="000000"/>
        </w:rPr>
        <w:t xml:space="preserve"> 9:00 do </w:t>
      </w:r>
      <w:r w:rsidR="0061520B">
        <w:rPr>
          <w:rFonts w:ascii="Calibri" w:hAnsi="Calibri" w:cs="Arial"/>
          <w:bCs/>
          <w:color w:val="000000"/>
        </w:rPr>
        <w:t>0</w:t>
      </w:r>
      <w:r w:rsidR="00E5542C">
        <w:rPr>
          <w:rFonts w:ascii="Calibri" w:hAnsi="Calibri" w:cs="Arial"/>
          <w:bCs/>
          <w:color w:val="000000"/>
        </w:rPr>
        <w:t>1</w:t>
      </w:r>
      <w:r w:rsidRPr="001A5F68">
        <w:rPr>
          <w:rFonts w:ascii="Calibri" w:hAnsi="Calibri" w:cs="Arial"/>
          <w:bCs/>
          <w:color w:val="000000"/>
        </w:rPr>
        <w:t>. 10. 20</w:t>
      </w:r>
      <w:r w:rsidR="00C15A29">
        <w:rPr>
          <w:rFonts w:ascii="Calibri" w:hAnsi="Calibri" w:cs="Arial"/>
          <w:bCs/>
          <w:color w:val="000000"/>
        </w:rPr>
        <w:t>2</w:t>
      </w:r>
      <w:r w:rsidR="005C099A">
        <w:rPr>
          <w:rFonts w:ascii="Calibri" w:hAnsi="Calibri" w:cs="Arial"/>
          <w:bCs/>
          <w:color w:val="000000"/>
        </w:rPr>
        <w:t>2</w:t>
      </w:r>
      <w:r w:rsidRPr="001A5F68">
        <w:rPr>
          <w:rFonts w:ascii="Calibri" w:hAnsi="Calibri" w:cs="Arial"/>
          <w:bCs/>
          <w:color w:val="000000"/>
        </w:rPr>
        <w:t xml:space="preserve">. </w:t>
      </w:r>
    </w:p>
    <w:p w:rsidR="005C099A" w:rsidRPr="001A5F68" w:rsidRDefault="005C099A" w:rsidP="001E61F7">
      <w:pPr>
        <w:pStyle w:val="Normlnweb"/>
        <w:numPr>
          <w:ilvl w:val="0"/>
          <w:numId w:val="3"/>
        </w:numPr>
        <w:shd w:val="clear" w:color="auto" w:fill="FFFFFF"/>
        <w:spacing w:before="0" w:beforeAutospacing="0" w:after="0" w:afterAutospacing="0"/>
        <w:rPr>
          <w:rFonts w:ascii="Calibri" w:hAnsi="Calibri" w:cs="Arial"/>
          <w:bCs/>
          <w:color w:val="000000"/>
        </w:rPr>
      </w:pPr>
      <w:r>
        <w:rPr>
          <w:rFonts w:ascii="Calibri" w:hAnsi="Calibri" w:cs="Arial"/>
          <w:bCs/>
          <w:color w:val="000000"/>
        </w:rPr>
        <w:t>Zápis VP pro studenty z jiných fakult od 24.09. 2022 do 30.09.2022.</w:t>
      </w:r>
    </w:p>
    <w:p w:rsidR="005E6388" w:rsidRPr="001A4676" w:rsidRDefault="005E6388" w:rsidP="001E61F7">
      <w:pPr>
        <w:pStyle w:val="Normlnweb"/>
        <w:shd w:val="clear" w:color="auto" w:fill="FFFFFF"/>
        <w:spacing w:before="0" w:beforeAutospacing="0" w:after="0" w:afterAutospacing="0"/>
        <w:ind w:left="720"/>
        <w:rPr>
          <w:rFonts w:ascii="Calibri" w:hAnsi="Calibri" w:cs="Arial"/>
          <w:color w:val="000000"/>
        </w:rPr>
      </w:pPr>
    </w:p>
    <w:p w:rsidR="005E6388" w:rsidRPr="001A4676" w:rsidRDefault="005E6388" w:rsidP="001E61F7">
      <w:pPr>
        <w:pStyle w:val="Normlnweb"/>
        <w:shd w:val="clear" w:color="auto" w:fill="FFFFFF"/>
        <w:spacing w:before="0" w:beforeAutospacing="0" w:after="0" w:afterAutospacing="0"/>
        <w:ind w:left="720"/>
        <w:rPr>
          <w:rFonts w:ascii="Calibri" w:hAnsi="Calibri" w:cs="Arial"/>
          <w:color w:val="000000"/>
        </w:rPr>
      </w:pPr>
      <w:r w:rsidRPr="001A4676">
        <w:rPr>
          <w:rFonts w:ascii="Calibri" w:hAnsi="Calibri" w:cs="Arial"/>
          <w:b/>
          <w:bCs/>
          <w:color w:val="000000"/>
        </w:rPr>
        <w:t xml:space="preserve">VP LETNÍ </w:t>
      </w:r>
      <w:proofErr w:type="gramStart"/>
      <w:r w:rsidRPr="001A4676">
        <w:rPr>
          <w:rFonts w:ascii="Calibri" w:hAnsi="Calibri" w:cs="Arial"/>
          <w:b/>
          <w:bCs/>
          <w:color w:val="000000"/>
        </w:rPr>
        <w:t>SEMESTR - TERMÍNY</w:t>
      </w:r>
      <w:proofErr w:type="gramEnd"/>
      <w:r w:rsidRPr="001A4676">
        <w:rPr>
          <w:rFonts w:ascii="Calibri" w:hAnsi="Calibri" w:cs="Arial"/>
          <w:b/>
          <w:bCs/>
          <w:color w:val="000000"/>
        </w:rPr>
        <w:t xml:space="preserve"> ZÁPISU VOLITELNÝCH PŘEDMĚTŮ</w:t>
      </w:r>
    </w:p>
    <w:p w:rsidR="005E6388" w:rsidRDefault="005E6388" w:rsidP="001E61F7">
      <w:pPr>
        <w:pStyle w:val="Normlnweb"/>
        <w:numPr>
          <w:ilvl w:val="0"/>
          <w:numId w:val="4"/>
        </w:numPr>
        <w:shd w:val="clear" w:color="auto" w:fill="FFFFFF"/>
        <w:spacing w:before="0" w:beforeAutospacing="0" w:after="0" w:afterAutospacing="0"/>
        <w:rPr>
          <w:rStyle w:val="Siln"/>
          <w:rFonts w:ascii="Calibri" w:hAnsi="Calibri" w:cs="Arial"/>
          <w:b w:val="0"/>
          <w:color w:val="000000"/>
          <w:bdr w:val="none" w:sz="0" w:space="0" w:color="auto" w:frame="1"/>
        </w:rPr>
      </w:pPr>
      <w:r w:rsidRPr="009D08CE">
        <w:rPr>
          <w:rStyle w:val="Siln"/>
          <w:rFonts w:ascii="Calibri" w:hAnsi="Calibri" w:cs="Arial"/>
          <w:b w:val="0"/>
          <w:color w:val="000000"/>
          <w:bdr w:val="none" w:sz="0" w:space="0" w:color="auto" w:frame="1"/>
        </w:rPr>
        <w:t>Zápis volitelných předmětů na letní semestr bude povolen pro studenty všech ročníků a oborů od 0</w:t>
      </w:r>
      <w:r w:rsidR="005C099A">
        <w:rPr>
          <w:rStyle w:val="Siln"/>
          <w:rFonts w:ascii="Calibri" w:hAnsi="Calibri" w:cs="Arial"/>
          <w:b w:val="0"/>
          <w:color w:val="000000"/>
          <w:bdr w:val="none" w:sz="0" w:space="0" w:color="auto" w:frame="1"/>
        </w:rPr>
        <w:t>6</w:t>
      </w:r>
      <w:r w:rsidRPr="009D08CE">
        <w:rPr>
          <w:rStyle w:val="Siln"/>
          <w:rFonts w:ascii="Calibri" w:hAnsi="Calibri" w:cs="Arial"/>
          <w:b w:val="0"/>
          <w:color w:val="000000"/>
          <w:bdr w:val="none" w:sz="0" w:space="0" w:color="auto" w:frame="1"/>
        </w:rPr>
        <w:t>. 02. 202</w:t>
      </w:r>
      <w:r w:rsidR="005C099A">
        <w:rPr>
          <w:rStyle w:val="Siln"/>
          <w:rFonts w:ascii="Calibri" w:hAnsi="Calibri" w:cs="Arial"/>
          <w:b w:val="0"/>
          <w:color w:val="000000"/>
          <w:bdr w:val="none" w:sz="0" w:space="0" w:color="auto" w:frame="1"/>
        </w:rPr>
        <w:t>3</w:t>
      </w:r>
      <w:r w:rsidRPr="009D08CE">
        <w:rPr>
          <w:rStyle w:val="Siln"/>
          <w:rFonts w:ascii="Calibri" w:hAnsi="Calibri" w:cs="Arial"/>
          <w:b w:val="0"/>
          <w:color w:val="000000"/>
          <w:bdr w:val="none" w:sz="0" w:space="0" w:color="auto" w:frame="1"/>
        </w:rPr>
        <w:t xml:space="preserve"> v 09:00 hodin do 2</w:t>
      </w:r>
      <w:r w:rsidR="005C099A">
        <w:rPr>
          <w:rStyle w:val="Siln"/>
          <w:rFonts w:ascii="Calibri" w:hAnsi="Calibri" w:cs="Arial"/>
          <w:b w:val="0"/>
          <w:color w:val="000000"/>
          <w:bdr w:val="none" w:sz="0" w:space="0" w:color="auto" w:frame="1"/>
        </w:rPr>
        <w:t>7</w:t>
      </w:r>
      <w:r w:rsidRPr="009D08CE">
        <w:rPr>
          <w:rStyle w:val="Siln"/>
          <w:rFonts w:ascii="Calibri" w:hAnsi="Calibri" w:cs="Arial"/>
          <w:b w:val="0"/>
          <w:color w:val="000000"/>
          <w:bdr w:val="none" w:sz="0" w:space="0" w:color="auto" w:frame="1"/>
        </w:rPr>
        <w:t>. 02. 202</w:t>
      </w:r>
      <w:r w:rsidR="005C099A">
        <w:rPr>
          <w:rStyle w:val="Siln"/>
          <w:rFonts w:ascii="Calibri" w:hAnsi="Calibri" w:cs="Arial"/>
          <w:b w:val="0"/>
          <w:color w:val="000000"/>
          <w:bdr w:val="none" w:sz="0" w:space="0" w:color="auto" w:frame="1"/>
        </w:rPr>
        <w:t>3</w:t>
      </w:r>
      <w:r w:rsidRPr="009D08CE">
        <w:rPr>
          <w:rStyle w:val="Siln"/>
          <w:rFonts w:ascii="Calibri" w:hAnsi="Calibri" w:cs="Arial"/>
          <w:b w:val="0"/>
          <w:color w:val="000000"/>
          <w:bdr w:val="none" w:sz="0" w:space="0" w:color="auto" w:frame="1"/>
        </w:rPr>
        <w:t xml:space="preserve"> 23:59</w:t>
      </w:r>
    </w:p>
    <w:p w:rsidR="005C099A" w:rsidRPr="00A7589C" w:rsidRDefault="005C099A" w:rsidP="001E61F7">
      <w:pPr>
        <w:pStyle w:val="Normlnweb"/>
        <w:numPr>
          <w:ilvl w:val="0"/>
          <w:numId w:val="4"/>
        </w:numPr>
        <w:shd w:val="clear" w:color="auto" w:fill="FFFFFF"/>
        <w:spacing w:before="0" w:beforeAutospacing="0" w:after="0" w:afterAutospacing="0"/>
        <w:rPr>
          <w:rStyle w:val="Siln"/>
          <w:rFonts w:ascii="Calibri" w:hAnsi="Calibri" w:cs="Arial"/>
          <w:b w:val="0"/>
          <w:color w:val="000000"/>
          <w:bdr w:val="none" w:sz="0" w:space="0" w:color="auto" w:frame="1"/>
        </w:rPr>
      </w:pPr>
      <w:r>
        <w:rPr>
          <w:rStyle w:val="Siln"/>
          <w:rFonts w:ascii="Calibri" w:hAnsi="Calibri" w:cs="Arial"/>
          <w:b w:val="0"/>
          <w:color w:val="000000"/>
          <w:bdr w:val="none" w:sz="0" w:space="0" w:color="auto" w:frame="1"/>
        </w:rPr>
        <w:t>Zápis VP pro studenty z jiných fakult od 06.02.202</w:t>
      </w:r>
      <w:r w:rsidR="001E61F7">
        <w:rPr>
          <w:rStyle w:val="Siln"/>
          <w:rFonts w:ascii="Calibri" w:hAnsi="Calibri" w:cs="Arial"/>
          <w:b w:val="0"/>
          <w:color w:val="000000"/>
          <w:bdr w:val="none" w:sz="0" w:space="0" w:color="auto" w:frame="1"/>
        </w:rPr>
        <w:t>3</w:t>
      </w:r>
      <w:r>
        <w:rPr>
          <w:rStyle w:val="Siln"/>
          <w:rFonts w:ascii="Calibri" w:hAnsi="Calibri" w:cs="Arial"/>
          <w:b w:val="0"/>
          <w:color w:val="000000"/>
          <w:bdr w:val="none" w:sz="0" w:space="0" w:color="auto" w:frame="1"/>
        </w:rPr>
        <w:t xml:space="preserve"> do 12.02.202</w:t>
      </w:r>
      <w:r w:rsidR="001E61F7">
        <w:rPr>
          <w:rStyle w:val="Siln"/>
          <w:rFonts w:ascii="Calibri" w:hAnsi="Calibri" w:cs="Arial"/>
          <w:b w:val="0"/>
          <w:color w:val="000000"/>
          <w:bdr w:val="none" w:sz="0" w:space="0" w:color="auto" w:frame="1"/>
        </w:rPr>
        <w:t>3</w:t>
      </w:r>
      <w:bookmarkStart w:id="0" w:name="_GoBack"/>
      <w:bookmarkEnd w:id="0"/>
    </w:p>
    <w:p w:rsidR="005E6388" w:rsidRPr="00A7589C" w:rsidRDefault="005E6388" w:rsidP="00A7589C">
      <w:pPr>
        <w:pStyle w:val="Normlnweb"/>
        <w:numPr>
          <w:ilvl w:val="0"/>
          <w:numId w:val="2"/>
        </w:numPr>
        <w:shd w:val="clear" w:color="auto" w:fill="FFFFFF"/>
        <w:jc w:val="both"/>
        <w:rPr>
          <w:rFonts w:asciiTheme="minorHAnsi" w:hAnsiTheme="minorHAnsi"/>
          <w:color w:val="000000"/>
        </w:rPr>
      </w:pPr>
      <w:r w:rsidRPr="00A7589C">
        <w:rPr>
          <w:rFonts w:asciiTheme="minorHAnsi" w:hAnsiTheme="minorHAnsi"/>
          <w:color w:val="000000"/>
        </w:rPr>
        <w:t>Na pozdější úpravu (zapisování a rušení) ze strany studentů a vyučujících po stanoveném datu nebude brán zřetel. Výjimku tvoří předměty, jejichž zápis je podmíněný složením vstupního testu.</w:t>
      </w:r>
    </w:p>
    <w:p w:rsidR="005E6388" w:rsidRPr="00A7589C" w:rsidRDefault="005E6388" w:rsidP="00A7589C">
      <w:pPr>
        <w:pStyle w:val="Normlnweb"/>
        <w:numPr>
          <w:ilvl w:val="0"/>
          <w:numId w:val="2"/>
        </w:numPr>
        <w:shd w:val="clear" w:color="auto" w:fill="FFFFFF"/>
        <w:jc w:val="both"/>
        <w:rPr>
          <w:rFonts w:asciiTheme="minorHAnsi" w:hAnsiTheme="minorHAnsi"/>
        </w:rPr>
      </w:pPr>
      <w:r w:rsidRPr="00A7589C">
        <w:rPr>
          <w:rFonts w:asciiTheme="minorHAnsi" w:hAnsiTheme="minorHAnsi"/>
          <w:color w:val="000000"/>
        </w:rPr>
        <w:t>Výběr VP je možný z nabídek všech fakult</w:t>
      </w:r>
      <w:r w:rsidRPr="00A7589C">
        <w:rPr>
          <w:rFonts w:asciiTheme="minorHAnsi" w:hAnsiTheme="minorHAnsi"/>
        </w:rPr>
        <w:t xml:space="preserve"> UK, které povolily zápis cizím studentům. </w:t>
      </w:r>
      <w:r w:rsidRPr="00A7589C">
        <w:rPr>
          <w:rFonts w:asciiTheme="minorHAnsi" w:hAnsiTheme="minorHAnsi" w:cs="Arial"/>
          <w:sz w:val="19"/>
          <w:szCs w:val="19"/>
        </w:rPr>
        <w:t xml:space="preserve"> </w:t>
      </w:r>
    </w:p>
    <w:p w:rsidR="001A5F68" w:rsidRPr="00A7589C" w:rsidRDefault="001A5F68" w:rsidP="00A7589C">
      <w:pPr>
        <w:pStyle w:val="Odstavecseseznamem"/>
        <w:numPr>
          <w:ilvl w:val="0"/>
          <w:numId w:val="2"/>
        </w:numPr>
        <w:jc w:val="both"/>
        <w:rPr>
          <w:rFonts w:asciiTheme="minorHAnsi" w:hAnsiTheme="minorHAnsi"/>
        </w:rPr>
      </w:pPr>
      <w:r w:rsidRPr="00A7589C">
        <w:rPr>
          <w:rFonts w:asciiTheme="minorHAnsi" w:hAnsiTheme="minorHAnsi"/>
          <w:color w:val="000000"/>
        </w:rPr>
        <w:t xml:space="preserve">V této souvislosti Vás prosím, vygenerujte si seznam zapsaných studentů do předmětu ze </w:t>
      </w:r>
      <w:proofErr w:type="spellStart"/>
      <w:r w:rsidRPr="00A7589C">
        <w:rPr>
          <w:rFonts w:asciiTheme="minorHAnsi" w:hAnsiTheme="minorHAnsi"/>
          <w:color w:val="000000"/>
        </w:rPr>
        <w:t>SISu</w:t>
      </w:r>
      <w:proofErr w:type="spellEnd"/>
      <w:r w:rsidRPr="00A7589C">
        <w:rPr>
          <w:rFonts w:asciiTheme="minorHAnsi" w:hAnsiTheme="minorHAnsi"/>
          <w:color w:val="000000"/>
        </w:rPr>
        <w:t xml:space="preserve"> až po ukončení zápisu VP a dbejte na dodržování docházky jen takto zapsaných studentů</w:t>
      </w:r>
      <w:r w:rsidRPr="00A7589C">
        <w:rPr>
          <w:rFonts w:asciiTheme="minorHAnsi" w:hAnsiTheme="minorHAnsi"/>
          <w:color w:val="1F497D"/>
        </w:rPr>
        <w:t xml:space="preserve"> – </w:t>
      </w:r>
      <w:r w:rsidRPr="00A7589C">
        <w:rPr>
          <w:rFonts w:asciiTheme="minorHAnsi" w:hAnsiTheme="minorHAnsi"/>
          <w:color w:val="000000"/>
        </w:rPr>
        <w:t xml:space="preserve">studenti, kteří nejsou zapsáni do </w:t>
      </w:r>
      <w:proofErr w:type="spellStart"/>
      <w:r w:rsidRPr="00A7589C">
        <w:rPr>
          <w:rFonts w:asciiTheme="minorHAnsi" w:hAnsiTheme="minorHAnsi"/>
          <w:color w:val="000000"/>
        </w:rPr>
        <w:t>SISu</w:t>
      </w:r>
      <w:proofErr w:type="spellEnd"/>
      <w:r w:rsidRPr="00A7589C">
        <w:rPr>
          <w:rFonts w:asciiTheme="minorHAnsi" w:hAnsiTheme="minorHAnsi"/>
          <w:color w:val="000000"/>
        </w:rPr>
        <w:t xml:space="preserve">, nemohou získat zápočet.  </w:t>
      </w:r>
    </w:p>
    <w:p w:rsidR="001A5F68" w:rsidRPr="00A7589C" w:rsidRDefault="00A7589C" w:rsidP="00A7589C">
      <w:pPr>
        <w:pStyle w:val="Odstavecseseznamem"/>
        <w:numPr>
          <w:ilvl w:val="0"/>
          <w:numId w:val="2"/>
        </w:numPr>
        <w:jc w:val="both"/>
        <w:rPr>
          <w:rFonts w:asciiTheme="minorHAnsi" w:hAnsiTheme="minorHAnsi"/>
          <w:color w:val="000000"/>
        </w:rPr>
      </w:pPr>
      <w:r>
        <w:rPr>
          <w:rFonts w:asciiTheme="minorHAnsi" w:hAnsiTheme="minorHAnsi"/>
          <w:color w:val="000000"/>
        </w:rPr>
        <w:lastRenderedPageBreak/>
        <w:t> </w:t>
      </w:r>
      <w:r w:rsidR="001A5F68" w:rsidRPr="00A7589C">
        <w:rPr>
          <w:rFonts w:asciiTheme="minorHAnsi" w:hAnsiTheme="minorHAnsi"/>
          <w:color w:val="000000"/>
        </w:rPr>
        <w:t xml:space="preserve">Vaše informace pro studenty musí být uvedena na </w:t>
      </w:r>
      <w:proofErr w:type="spellStart"/>
      <w:r w:rsidR="001A5F68" w:rsidRPr="00A7589C">
        <w:rPr>
          <w:rFonts w:asciiTheme="minorHAnsi" w:hAnsiTheme="minorHAnsi"/>
          <w:color w:val="000000"/>
        </w:rPr>
        <w:t>SISu</w:t>
      </w:r>
      <w:proofErr w:type="spellEnd"/>
      <w:r w:rsidR="001A5F68" w:rsidRPr="00A7589C">
        <w:rPr>
          <w:rFonts w:asciiTheme="minorHAnsi" w:hAnsiTheme="minorHAnsi"/>
          <w:color w:val="000000"/>
        </w:rPr>
        <w:t xml:space="preserve">, pokud je zveřejněna ještě jinde (nástěnka, web ústavu apod.), informace se musí shodovat a v každém případě odpovídat schváleným podmínkám a pravidlům.  </w:t>
      </w:r>
    </w:p>
    <w:p w:rsidR="005D1375" w:rsidRPr="002C0CD0" w:rsidRDefault="005D1375" w:rsidP="005D1375">
      <w:pPr>
        <w:rPr>
          <w:rFonts w:ascii="Calibri" w:hAnsi="Calibri"/>
          <w:u w:val="single"/>
        </w:rPr>
      </w:pPr>
    </w:p>
    <w:p w:rsidR="00BF4ECB" w:rsidRDefault="00BF4ECB"/>
    <w:p w:rsidR="00BF4ECB" w:rsidRDefault="00BF4ECB" w:rsidP="00BF4ECB"/>
    <w:p w:rsidR="00802A28" w:rsidRDefault="00802A28" w:rsidP="00BF4ECB">
      <w:pPr>
        <w:ind w:firstLine="708"/>
      </w:pPr>
    </w:p>
    <w:p w:rsidR="00BF4ECB" w:rsidRDefault="00BF4ECB" w:rsidP="00BF4ECB">
      <w:pPr>
        <w:ind w:firstLine="708"/>
      </w:pPr>
    </w:p>
    <w:p w:rsidR="00BF4ECB" w:rsidRDefault="00BF4ECB" w:rsidP="00BF4ECB">
      <w:pPr>
        <w:ind w:firstLine="708"/>
      </w:pPr>
    </w:p>
    <w:p w:rsidR="00BF4ECB" w:rsidRDefault="00BF4ECB" w:rsidP="00BF4ECB">
      <w:pPr>
        <w:ind w:firstLine="708"/>
      </w:pPr>
    </w:p>
    <w:sectPr w:rsidR="00BF4ECB" w:rsidSect="00A7589C">
      <w:footerReference w:type="default" r:id="rId8"/>
      <w:pgSz w:w="11906" w:h="16838"/>
      <w:pgMar w:top="568" w:right="1133" w:bottom="709"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71" w:rsidRDefault="00D04D71" w:rsidP="00A7589C">
      <w:r>
        <w:separator/>
      </w:r>
    </w:p>
  </w:endnote>
  <w:endnote w:type="continuationSeparator" w:id="0">
    <w:p w:rsidR="00D04D71" w:rsidRDefault="00D04D71" w:rsidP="00A7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641991"/>
      <w:docPartObj>
        <w:docPartGallery w:val="Page Numbers (Bottom of Page)"/>
        <w:docPartUnique/>
      </w:docPartObj>
    </w:sdtPr>
    <w:sdtEndPr/>
    <w:sdtContent>
      <w:p w:rsidR="00A7589C" w:rsidRDefault="00A7589C">
        <w:pPr>
          <w:pStyle w:val="Zpa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7589C" w:rsidRDefault="00A7589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670AE" w:rsidRPr="005670AE">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A7589C" w:rsidRDefault="00A7589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670AE" w:rsidRPr="005670AE">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71" w:rsidRDefault="00D04D71" w:rsidP="00A7589C">
      <w:r>
        <w:separator/>
      </w:r>
    </w:p>
  </w:footnote>
  <w:footnote w:type="continuationSeparator" w:id="0">
    <w:p w:rsidR="00D04D71" w:rsidRDefault="00D04D71" w:rsidP="00A75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F34C4"/>
    <w:multiLevelType w:val="hybridMultilevel"/>
    <w:tmpl w:val="5AEEF0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57FB08E9"/>
    <w:multiLevelType w:val="hybridMultilevel"/>
    <w:tmpl w:val="F91EA9E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20367D3"/>
    <w:multiLevelType w:val="hybridMultilevel"/>
    <w:tmpl w:val="F2AC77B0"/>
    <w:lvl w:ilvl="0" w:tplc="133AE822">
      <w:start w:val="1"/>
      <w:numFmt w:val="decimal"/>
      <w:lvlText w:val="%1."/>
      <w:lvlJc w:val="left"/>
      <w:pPr>
        <w:tabs>
          <w:tab w:val="num" w:pos="502"/>
        </w:tabs>
        <w:ind w:left="502"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630B5883"/>
    <w:multiLevelType w:val="hybridMultilevel"/>
    <w:tmpl w:val="F2E839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75"/>
    <w:rsid w:val="00085125"/>
    <w:rsid w:val="00096AD3"/>
    <w:rsid w:val="000D3F4E"/>
    <w:rsid w:val="000F7299"/>
    <w:rsid w:val="0013221D"/>
    <w:rsid w:val="00136B95"/>
    <w:rsid w:val="00190020"/>
    <w:rsid w:val="001A5F68"/>
    <w:rsid w:val="001E61F7"/>
    <w:rsid w:val="002214F0"/>
    <w:rsid w:val="002370AC"/>
    <w:rsid w:val="00241CF3"/>
    <w:rsid w:val="00273FC9"/>
    <w:rsid w:val="002A7D41"/>
    <w:rsid w:val="002D51B7"/>
    <w:rsid w:val="00303B52"/>
    <w:rsid w:val="003C0E6D"/>
    <w:rsid w:val="003C6E76"/>
    <w:rsid w:val="003E4B9A"/>
    <w:rsid w:val="003E5309"/>
    <w:rsid w:val="003E5C75"/>
    <w:rsid w:val="00486016"/>
    <w:rsid w:val="00497FFB"/>
    <w:rsid w:val="00505953"/>
    <w:rsid w:val="0053383A"/>
    <w:rsid w:val="005670AE"/>
    <w:rsid w:val="005A0376"/>
    <w:rsid w:val="005B0944"/>
    <w:rsid w:val="005C099A"/>
    <w:rsid w:val="005D1375"/>
    <w:rsid w:val="005E6388"/>
    <w:rsid w:val="006026F8"/>
    <w:rsid w:val="0061520B"/>
    <w:rsid w:val="00624592"/>
    <w:rsid w:val="00691A9F"/>
    <w:rsid w:val="006A7A59"/>
    <w:rsid w:val="006D3021"/>
    <w:rsid w:val="006D4FB5"/>
    <w:rsid w:val="00707456"/>
    <w:rsid w:val="007C3ACB"/>
    <w:rsid w:val="007D394B"/>
    <w:rsid w:val="00802A28"/>
    <w:rsid w:val="0080593D"/>
    <w:rsid w:val="00867D9B"/>
    <w:rsid w:val="008760C4"/>
    <w:rsid w:val="008E4923"/>
    <w:rsid w:val="00903B16"/>
    <w:rsid w:val="009167A9"/>
    <w:rsid w:val="00943FA8"/>
    <w:rsid w:val="009B0C1A"/>
    <w:rsid w:val="009C2B10"/>
    <w:rsid w:val="009C30D0"/>
    <w:rsid w:val="00A31CB2"/>
    <w:rsid w:val="00A41551"/>
    <w:rsid w:val="00A45A63"/>
    <w:rsid w:val="00A7589C"/>
    <w:rsid w:val="00AB0C20"/>
    <w:rsid w:val="00AC0589"/>
    <w:rsid w:val="00B23662"/>
    <w:rsid w:val="00B55836"/>
    <w:rsid w:val="00BF4ECB"/>
    <w:rsid w:val="00C15A29"/>
    <w:rsid w:val="00C52B32"/>
    <w:rsid w:val="00CA7003"/>
    <w:rsid w:val="00CE7698"/>
    <w:rsid w:val="00D04D71"/>
    <w:rsid w:val="00D202B1"/>
    <w:rsid w:val="00D31665"/>
    <w:rsid w:val="00DA4EF0"/>
    <w:rsid w:val="00DB2F08"/>
    <w:rsid w:val="00DB2FBC"/>
    <w:rsid w:val="00DC0043"/>
    <w:rsid w:val="00DE7D82"/>
    <w:rsid w:val="00E43C3A"/>
    <w:rsid w:val="00E5542C"/>
    <w:rsid w:val="00E94EDF"/>
    <w:rsid w:val="00EF319A"/>
    <w:rsid w:val="00F741B2"/>
    <w:rsid w:val="00FD0C7F"/>
    <w:rsid w:val="00FE2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5C41"/>
  <w15:chartTrackingRefBased/>
  <w15:docId w15:val="{7ABC899C-5F3F-479B-8890-32BD6AF1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13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D1375"/>
    <w:rPr>
      <w:color w:val="0000FF"/>
      <w:u w:val="single"/>
    </w:rPr>
  </w:style>
  <w:style w:type="character" w:styleId="Siln">
    <w:name w:val="Strong"/>
    <w:uiPriority w:val="22"/>
    <w:qFormat/>
    <w:rsid w:val="005D1375"/>
    <w:rPr>
      <w:b/>
      <w:bCs/>
    </w:rPr>
  </w:style>
  <w:style w:type="paragraph" w:styleId="Normlnweb">
    <w:name w:val="Normal (Web)"/>
    <w:basedOn w:val="Normln"/>
    <w:uiPriority w:val="99"/>
    <w:rsid w:val="005D1375"/>
    <w:pPr>
      <w:spacing w:before="100" w:beforeAutospacing="1" w:after="100" w:afterAutospacing="1"/>
    </w:pPr>
  </w:style>
  <w:style w:type="paragraph" w:styleId="Nzev">
    <w:name w:val="Title"/>
    <w:basedOn w:val="Normln"/>
    <w:next w:val="Normln"/>
    <w:link w:val="NzevChar"/>
    <w:qFormat/>
    <w:rsid w:val="005D1375"/>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rsid w:val="005D1375"/>
    <w:rPr>
      <w:rFonts w:ascii="Calibri Light" w:eastAsia="Times New Roman" w:hAnsi="Calibri Light" w:cs="Times New Roman"/>
      <w:b/>
      <w:bCs/>
      <w:kern w:val="28"/>
      <w:sz w:val="32"/>
      <w:szCs w:val="32"/>
      <w:lang w:eastAsia="cs-CZ"/>
    </w:rPr>
  </w:style>
  <w:style w:type="paragraph" w:styleId="Odstavecseseznamem">
    <w:name w:val="List Paragraph"/>
    <w:basedOn w:val="Normln"/>
    <w:uiPriority w:val="34"/>
    <w:qFormat/>
    <w:rsid w:val="001A5F68"/>
    <w:pPr>
      <w:ind w:left="720"/>
      <w:contextualSpacing/>
    </w:pPr>
  </w:style>
  <w:style w:type="paragraph" w:styleId="Zhlav">
    <w:name w:val="header"/>
    <w:basedOn w:val="Normln"/>
    <w:link w:val="ZhlavChar"/>
    <w:uiPriority w:val="99"/>
    <w:unhideWhenUsed/>
    <w:rsid w:val="00A7589C"/>
    <w:pPr>
      <w:tabs>
        <w:tab w:val="center" w:pos="4536"/>
        <w:tab w:val="right" w:pos="9072"/>
      </w:tabs>
    </w:pPr>
  </w:style>
  <w:style w:type="character" w:customStyle="1" w:styleId="ZhlavChar">
    <w:name w:val="Záhlaví Char"/>
    <w:basedOn w:val="Standardnpsmoodstavce"/>
    <w:link w:val="Zhlav"/>
    <w:uiPriority w:val="99"/>
    <w:rsid w:val="00A7589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7589C"/>
    <w:pPr>
      <w:tabs>
        <w:tab w:val="center" w:pos="4536"/>
        <w:tab w:val="right" w:pos="9072"/>
      </w:tabs>
    </w:pPr>
  </w:style>
  <w:style w:type="character" w:customStyle="1" w:styleId="ZpatChar">
    <w:name w:val="Zápatí Char"/>
    <w:basedOn w:val="Standardnpsmoodstavce"/>
    <w:link w:val="Zpat"/>
    <w:uiPriority w:val="99"/>
    <w:rsid w:val="00A7589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C3ACB"/>
    <w:rPr>
      <w:sz w:val="16"/>
      <w:szCs w:val="16"/>
    </w:rPr>
  </w:style>
  <w:style w:type="paragraph" w:styleId="Textkomente">
    <w:name w:val="annotation text"/>
    <w:basedOn w:val="Normln"/>
    <w:link w:val="TextkomenteChar"/>
    <w:uiPriority w:val="99"/>
    <w:semiHidden/>
    <w:unhideWhenUsed/>
    <w:rsid w:val="007C3ACB"/>
    <w:rPr>
      <w:sz w:val="20"/>
      <w:szCs w:val="20"/>
    </w:rPr>
  </w:style>
  <w:style w:type="character" w:customStyle="1" w:styleId="TextkomenteChar">
    <w:name w:val="Text komentáře Char"/>
    <w:basedOn w:val="Standardnpsmoodstavce"/>
    <w:link w:val="Textkomente"/>
    <w:uiPriority w:val="99"/>
    <w:semiHidden/>
    <w:rsid w:val="007C3AC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C3ACB"/>
    <w:rPr>
      <w:b/>
      <w:bCs/>
    </w:rPr>
  </w:style>
  <w:style w:type="character" w:customStyle="1" w:styleId="PedmtkomenteChar">
    <w:name w:val="Předmět komentáře Char"/>
    <w:basedOn w:val="TextkomenteChar"/>
    <w:link w:val="Pedmtkomente"/>
    <w:uiPriority w:val="99"/>
    <w:semiHidden/>
    <w:rsid w:val="007C3AC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C3A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3AC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95129">
      <w:bodyDiv w:val="1"/>
      <w:marLeft w:val="0"/>
      <w:marRight w:val="0"/>
      <w:marTop w:val="0"/>
      <w:marBottom w:val="0"/>
      <w:divBdr>
        <w:top w:val="none" w:sz="0" w:space="0" w:color="auto"/>
        <w:left w:val="none" w:sz="0" w:space="0" w:color="auto"/>
        <w:bottom w:val="none" w:sz="0" w:space="0" w:color="auto"/>
        <w:right w:val="none" w:sz="0" w:space="0" w:color="auto"/>
      </w:divBdr>
    </w:div>
    <w:div w:id="21456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1410E59A0C2A4391210E9E2B7FC3BF" ma:contentTypeVersion="10" ma:contentTypeDescription="Vytvoří nový dokument" ma:contentTypeScope="" ma:versionID="65331e0a6c7d40c12ca64da5040158ca">
  <xsd:schema xmlns:xsd="http://www.w3.org/2001/XMLSchema" xmlns:xs="http://www.w3.org/2001/XMLSchema" xmlns:p="http://schemas.microsoft.com/office/2006/metadata/properties" xmlns:ns2="6dcdb075-fa1e-4321-83d1-a1efe6faca73" xmlns:ns3="cad2431f-2183-4be4-87a0-da67f5c0498c" targetNamespace="http://schemas.microsoft.com/office/2006/metadata/properties" ma:root="true" ma:fieldsID="99d0297707f63b2dea57e9850312d0d7" ns2:_="" ns3:_="">
    <xsd:import namespace="6dcdb075-fa1e-4321-83d1-a1efe6faca73"/>
    <xsd:import namespace="cad2431f-2183-4be4-87a0-da67f5c04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b075-fa1e-4321-83d1-a1efe6fac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431f-2183-4be4-87a0-da67f5c049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f4197c-8a6c-4116-b831-2c93fa6c22fc}" ma:internalName="TaxCatchAll" ma:showField="CatchAllData" ma:web="cad2431f-2183-4be4-87a0-da67f5c04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cdb075-fa1e-4321-83d1-a1efe6faca73">
      <Terms xmlns="http://schemas.microsoft.com/office/infopath/2007/PartnerControls"/>
    </lcf76f155ced4ddcb4097134ff3c332f>
    <TaxCatchAll xmlns="cad2431f-2183-4be4-87a0-da67f5c0498c" xsi:nil="true"/>
  </documentManagement>
</p:properties>
</file>

<file path=customXml/itemProps1.xml><?xml version="1.0" encoding="utf-8"?>
<ds:datastoreItem xmlns:ds="http://schemas.openxmlformats.org/officeDocument/2006/customXml" ds:itemID="{A02D35E1-8E34-455A-AF72-E8D79A6F9727}">
  <ds:schemaRefs>
    <ds:schemaRef ds:uri="http://schemas.openxmlformats.org/officeDocument/2006/bibliography"/>
  </ds:schemaRefs>
</ds:datastoreItem>
</file>

<file path=customXml/itemProps2.xml><?xml version="1.0" encoding="utf-8"?>
<ds:datastoreItem xmlns:ds="http://schemas.openxmlformats.org/officeDocument/2006/customXml" ds:itemID="{1C457C98-12E1-4042-BAB3-2A522758DCAF}"/>
</file>

<file path=customXml/itemProps3.xml><?xml version="1.0" encoding="utf-8"?>
<ds:datastoreItem xmlns:ds="http://schemas.openxmlformats.org/officeDocument/2006/customXml" ds:itemID="{779114FE-E333-4C2B-8CD7-D38E7DB73E18}"/>
</file>

<file path=customXml/itemProps4.xml><?xml version="1.0" encoding="utf-8"?>
<ds:datastoreItem xmlns:ds="http://schemas.openxmlformats.org/officeDocument/2006/customXml" ds:itemID="{96E5BFA7-DEFB-486F-A5CA-70B38D35264F}"/>
</file>

<file path=docProps/app.xml><?xml version="1.0" encoding="utf-8"?>
<Properties xmlns="http://schemas.openxmlformats.org/officeDocument/2006/extended-properties" xmlns:vt="http://schemas.openxmlformats.org/officeDocument/2006/docPropsVTypes">
  <Template>Normal</Template>
  <TotalTime>86</TotalTime>
  <Pages>1</Pages>
  <Words>738</Words>
  <Characters>4357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Holanová</dc:creator>
  <cp:keywords/>
  <dc:description/>
  <cp:lastModifiedBy>Marcela Holanová</cp:lastModifiedBy>
  <cp:revision>4</cp:revision>
  <cp:lastPrinted>2019-10-10T11:27:00Z</cp:lastPrinted>
  <dcterms:created xsi:type="dcterms:W3CDTF">2022-05-11T12:37:00Z</dcterms:created>
  <dcterms:modified xsi:type="dcterms:W3CDTF">2022-05-12T08:53:00Z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0x010100CD1410E59A0C2A4391210E9E2B7FC3BF</vt:lpwstr>
  </property>
</Properties>
</file>