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59D1" w14:textId="77C110FF" w:rsidR="00071F0C" w:rsidRPr="00071F0C" w:rsidRDefault="00CB4564" w:rsidP="00071F0C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AZV </w:t>
      </w:r>
      <w:r w:rsidR="00071F0C" w:rsidRPr="00071F0C">
        <w:rPr>
          <w:rFonts w:asciiTheme="minorHAnsi" w:hAnsiTheme="minorHAnsi" w:cstheme="minorHAnsi"/>
          <w:b/>
          <w:bCs/>
          <w:color w:val="000000"/>
        </w:rPr>
        <w:t>Podáno</w:t>
      </w:r>
      <w:r w:rsidR="00071F0C" w:rsidRPr="00071F0C">
        <w:rPr>
          <w:rFonts w:asciiTheme="minorHAnsi" w:hAnsiTheme="minorHAnsi" w:cstheme="minorHAnsi"/>
          <w:b/>
          <w:bCs/>
          <w:color w:val="000000"/>
        </w:rPr>
        <w:t> </w:t>
      </w:r>
    </w:p>
    <w:p w14:paraId="7B4772AD" w14:textId="77777777" w:rsidR="00071F0C" w:rsidRPr="00071F0C" w:rsidRDefault="00071F0C" w:rsidP="00071F0C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071F0C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AZV – hlavní – 25 přihlášek</w:t>
      </w:r>
    </w:p>
    <w:p w14:paraId="7F07492F" w14:textId="77777777" w:rsidR="00071F0C" w:rsidRPr="00071F0C" w:rsidRDefault="00071F0C" w:rsidP="00071F0C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071F0C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AZV – spoluřešitelské – 21 přihlášek</w:t>
      </w:r>
    </w:p>
    <w:p w14:paraId="558F9778" w14:textId="77777777" w:rsidR="00071F0C" w:rsidRPr="00071F0C" w:rsidRDefault="00071F0C" w:rsidP="00071F0C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071F0C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AZV COVID – 1 hlavní, 3 spoluřešitelské</w:t>
      </w:r>
    </w:p>
    <w:p w14:paraId="055E2F2B" w14:textId="77777777" w:rsidR="00071F0C" w:rsidRDefault="00071F0C" w:rsidP="004F0A0D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1B790E1E" w14:textId="77777777" w:rsidR="00071F0C" w:rsidRDefault="00071F0C" w:rsidP="004F0A0D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278A60FF" w14:textId="09444789" w:rsidR="004F0A0D" w:rsidRPr="00BD2F71" w:rsidRDefault="00217C34" w:rsidP="004F0A0D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BD2F71">
        <w:rPr>
          <w:rFonts w:asciiTheme="minorHAnsi" w:hAnsiTheme="minorHAnsi" w:cstheme="minorHAnsi"/>
          <w:b/>
          <w:bCs/>
          <w:color w:val="000000"/>
        </w:rPr>
        <w:t>V</w:t>
      </w:r>
      <w:r w:rsidR="004F0A0D" w:rsidRPr="00BD2F71">
        <w:rPr>
          <w:rFonts w:asciiTheme="minorHAnsi" w:hAnsiTheme="minorHAnsi" w:cstheme="minorHAnsi"/>
          <w:b/>
          <w:bCs/>
          <w:color w:val="000000"/>
        </w:rPr>
        <w:t xml:space="preserve">ýsledky výzvy AZV - VES COVID </w:t>
      </w:r>
    </w:p>
    <w:p w14:paraId="2CA4FFF9" w14:textId="04C5FA0D" w:rsidR="004F0A0D" w:rsidRPr="00BD2F71" w:rsidRDefault="004F0A0D" w:rsidP="004F0A0D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 w:rsidRPr="00BD2F71">
        <w:rPr>
          <w:rFonts w:asciiTheme="minorHAnsi" w:hAnsiTheme="minorHAnsi" w:cstheme="minorHAnsi"/>
          <w:color w:val="000000"/>
        </w:rPr>
        <w:t> </w:t>
      </w:r>
      <w:r w:rsidRPr="00BD2F71">
        <w:rPr>
          <w:rFonts w:asciiTheme="minorHAnsi" w:hAnsiTheme="minorHAnsi" w:cstheme="minorHAnsi"/>
          <w:color w:val="212529"/>
          <w:shd w:val="clear" w:color="auto" w:fill="FFFFFF"/>
        </w:rPr>
        <w:t>MZ po zhodnocení orgány AZV předkládá konečný seznam doporučených návrhů projektů k financování, včetně alokace finančních prostředků ve výši </w:t>
      </w:r>
      <w:r w:rsidRPr="00BD2F71">
        <w:rPr>
          <w:rStyle w:val="Siln"/>
          <w:rFonts w:asciiTheme="minorHAnsi" w:hAnsiTheme="minorHAnsi" w:cstheme="minorHAnsi"/>
          <w:color w:val="212529"/>
          <w:shd w:val="clear" w:color="auto" w:fill="FFFFFF"/>
        </w:rPr>
        <w:t>55 516 000</w:t>
      </w:r>
      <w:r w:rsidRPr="00BD2F71">
        <w:rPr>
          <w:rFonts w:asciiTheme="minorHAnsi" w:hAnsiTheme="minorHAnsi" w:cstheme="minorHAnsi"/>
          <w:color w:val="212529"/>
          <w:shd w:val="clear" w:color="auto" w:fill="FFFFFF"/>
        </w:rPr>
        <w:t> </w:t>
      </w:r>
      <w:r w:rsidRPr="00BD2F71">
        <w:rPr>
          <w:rStyle w:val="Siln"/>
          <w:rFonts w:asciiTheme="minorHAnsi" w:hAnsiTheme="minorHAnsi" w:cstheme="minorHAnsi"/>
          <w:color w:val="212529"/>
          <w:shd w:val="clear" w:color="auto" w:fill="FFFFFF"/>
        </w:rPr>
        <w:t>Kč</w:t>
      </w:r>
      <w:r w:rsidRPr="00BD2F71">
        <w:rPr>
          <w:rFonts w:asciiTheme="minorHAnsi" w:hAnsiTheme="minorHAnsi" w:cstheme="minorHAnsi"/>
          <w:color w:val="212529"/>
          <w:shd w:val="clear" w:color="auto" w:fill="FFFFFF"/>
        </w:rPr>
        <w:t> pro rok 2022, která umožňuje financovat </w:t>
      </w:r>
      <w:r w:rsidRPr="00BD2F71">
        <w:rPr>
          <w:rStyle w:val="Siln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>26 projektů</w:t>
      </w:r>
      <w:r w:rsidRPr="00BD2F71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 </w:t>
      </w:r>
      <w:r w:rsidRPr="00BD2F71">
        <w:rPr>
          <w:rFonts w:asciiTheme="minorHAnsi" w:hAnsiTheme="minorHAnsi" w:cstheme="minorHAnsi"/>
          <w:color w:val="212529"/>
          <w:shd w:val="clear" w:color="auto" w:fill="FFFFFF"/>
        </w:rPr>
        <w:t>(</w:t>
      </w:r>
      <w:r w:rsidRPr="00BD2F71">
        <w:rPr>
          <w:rFonts w:asciiTheme="minorHAnsi" w:hAnsiTheme="minorHAnsi" w:cstheme="minorHAnsi"/>
          <w:color w:val="212529"/>
          <w:u w:val="single"/>
          <w:shd w:val="clear" w:color="auto" w:fill="FFFFFF"/>
        </w:rPr>
        <w:t>tj. 49 %</w:t>
      </w:r>
      <w:r w:rsidRPr="00BD2F71">
        <w:rPr>
          <w:rFonts w:asciiTheme="minorHAnsi" w:hAnsiTheme="minorHAnsi" w:cstheme="minorHAnsi"/>
          <w:color w:val="212529"/>
          <w:shd w:val="clear" w:color="auto" w:fill="FFFFFF"/>
        </w:rPr>
        <w:t xml:space="preserve"> z celkového počtu řádně doručených návrhů projektů). Náklady účelové podpory na celou dobu řešení projektů financovaných z VES COVID představují </w:t>
      </w:r>
      <w:r w:rsidRPr="00BD2F71">
        <w:rPr>
          <w:rStyle w:val="Siln"/>
          <w:rFonts w:asciiTheme="minorHAnsi" w:hAnsiTheme="minorHAnsi" w:cstheme="minorHAnsi"/>
          <w:color w:val="212529"/>
          <w:shd w:val="clear" w:color="auto" w:fill="FFFFFF"/>
        </w:rPr>
        <w:t>částku ve výši 118 984 000 Kč.</w:t>
      </w:r>
      <w:r w:rsidRPr="00BD2F71">
        <w:rPr>
          <w:rFonts w:asciiTheme="minorHAnsi" w:hAnsiTheme="minorHAnsi" w:cstheme="minorHAnsi"/>
          <w:color w:val="212529"/>
          <w:shd w:val="clear" w:color="auto" w:fill="FFFFFF"/>
        </w:rPr>
        <w:t> Doba řešení projektů byla stanovena max. na 2 roky (2022 – 2023) s možností prodloužení bez nároku na účelovou podporu v dalších letech.</w:t>
      </w:r>
    </w:p>
    <w:p w14:paraId="0F87E143" w14:textId="684C5B11" w:rsidR="00217C34" w:rsidRPr="00BD2F71" w:rsidRDefault="00217C34" w:rsidP="004F0A0D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544E99A7" w14:textId="4EBE6B9A" w:rsidR="00217C34" w:rsidRPr="00BD2F71" w:rsidRDefault="00BD2F71" w:rsidP="004F0A0D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noProof/>
        </w:rPr>
        <w:drawing>
          <wp:inline distT="0" distB="0" distL="0" distR="0" wp14:anchorId="7A32C178" wp14:editId="2F39BF1E">
            <wp:extent cx="5760720" cy="1273175"/>
            <wp:effectExtent l="0" t="0" r="0" b="317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5DE79" w14:textId="172255FD" w:rsidR="00217C34" w:rsidRDefault="00217C34" w:rsidP="004F0A0D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6D26F491" w14:textId="77777777" w:rsidR="008C5732" w:rsidRPr="00BD2F71" w:rsidRDefault="008C5732" w:rsidP="004F0A0D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0B4F28C5" w14:textId="4F0E3D37" w:rsidR="00217C34" w:rsidRPr="00BD2F71" w:rsidRDefault="00217C34" w:rsidP="00217C34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BD2F71">
        <w:rPr>
          <w:rFonts w:asciiTheme="minorHAnsi" w:hAnsiTheme="minorHAnsi" w:cstheme="minorHAnsi"/>
          <w:b/>
          <w:bCs/>
          <w:color w:val="000000"/>
        </w:rPr>
        <w:t>Výsledky výzvy AZV</w:t>
      </w:r>
      <w:r w:rsidR="00BD2F71">
        <w:rPr>
          <w:rFonts w:asciiTheme="minorHAnsi" w:hAnsiTheme="minorHAnsi" w:cstheme="minorHAnsi"/>
          <w:b/>
          <w:bCs/>
          <w:color w:val="000000"/>
        </w:rPr>
        <w:t>- standardní a juniorské projekty</w:t>
      </w:r>
    </w:p>
    <w:p w14:paraId="05E6E958" w14:textId="48790DCE" w:rsidR="00217C34" w:rsidRPr="00BD2F71" w:rsidRDefault="00217C34" w:rsidP="004F0A0D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D2F71">
        <w:rPr>
          <w:rFonts w:asciiTheme="minorHAnsi" w:hAnsiTheme="minorHAnsi" w:cstheme="minorHAnsi"/>
          <w:color w:val="212529"/>
          <w:shd w:val="clear" w:color="auto" w:fill="FFFFFF"/>
        </w:rPr>
        <w:t>Do soutěže bylo v soutěžní lhůtě přijato celkem</w:t>
      </w:r>
      <w:r w:rsidRPr="00BD2F71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 </w:t>
      </w:r>
      <w:r w:rsidRPr="00BD2F71">
        <w:rPr>
          <w:rStyle w:val="Siln"/>
          <w:rFonts w:asciiTheme="minorHAnsi" w:hAnsiTheme="minorHAnsi" w:cstheme="minorHAnsi"/>
          <w:b w:val="0"/>
          <w:bCs w:val="0"/>
          <w:color w:val="212529"/>
          <w:u w:val="single"/>
          <w:shd w:val="clear" w:color="auto" w:fill="FFFFFF"/>
        </w:rPr>
        <w:t>493 doručených návrhů projektů</w:t>
      </w:r>
      <w:r w:rsidRPr="00BD2F71">
        <w:rPr>
          <w:rStyle w:val="Siln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>, z toho 433 tzv. standardních a 60 juniorských</w:t>
      </w:r>
      <w:r w:rsidRPr="00BD2F71">
        <w:rPr>
          <w:rFonts w:asciiTheme="minorHAnsi" w:hAnsiTheme="minorHAnsi" w:cstheme="minorHAnsi"/>
          <w:color w:val="212529"/>
          <w:shd w:val="clear" w:color="auto" w:fill="FFFFFF"/>
        </w:rPr>
        <w:t xml:space="preserve">. Z formálních důvodů byly ze soutěže vyřazeny 3 návrhy projektů (z toho žádný nebyl juniorský návrh). Do odborného hodnocení postoupilo tedy </w:t>
      </w:r>
      <w:r w:rsidRPr="00BD2F71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490 návrhů projektů, z toho 430 standardních a 60 juniorských návrhů projektů</w:t>
      </w:r>
      <w:r w:rsidRPr="00BD2F71">
        <w:rPr>
          <w:rFonts w:asciiTheme="minorHAnsi" w:hAnsiTheme="minorHAnsi" w:cstheme="minorHAnsi"/>
          <w:color w:val="212529"/>
          <w:shd w:val="clear" w:color="auto" w:fill="FFFFFF"/>
        </w:rPr>
        <w:t>.</w:t>
      </w:r>
    </w:p>
    <w:p w14:paraId="33CAFB4A" w14:textId="5C1D41C5" w:rsidR="00217C34" w:rsidRDefault="00217C34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BD2F71">
        <w:rPr>
          <w:rFonts w:cstheme="minorHAnsi"/>
          <w:color w:val="212529"/>
          <w:sz w:val="24"/>
          <w:szCs w:val="24"/>
          <w:shd w:val="clear" w:color="auto" w:fill="FFFFFF"/>
        </w:rPr>
        <w:t>MZ po zhodnocení orgány AZV předkládá konečný seznam projektů doporučených k financování, včetně alokace finančních prostředků účelové podpory ve výši </w:t>
      </w:r>
      <w:r w:rsidRPr="00BD2F71">
        <w:rPr>
          <w:rStyle w:val="Siln"/>
          <w:rFonts w:cstheme="minorHAnsi"/>
          <w:color w:val="212529"/>
          <w:sz w:val="24"/>
          <w:szCs w:val="24"/>
          <w:shd w:val="clear" w:color="auto" w:fill="FFFFFF"/>
        </w:rPr>
        <w:t>197 427 000 Kč</w:t>
      </w:r>
      <w:r w:rsidRPr="00BD2F71">
        <w:rPr>
          <w:rFonts w:cstheme="minorHAnsi"/>
          <w:color w:val="212529"/>
          <w:sz w:val="24"/>
          <w:szCs w:val="24"/>
          <w:shd w:val="clear" w:color="auto" w:fill="FFFFFF"/>
        </w:rPr>
        <w:t> pro rok 2022 (z toho 14 282 000 Kč pro juniorské projekty), která umožňuje financovat celkem </w:t>
      </w:r>
      <w:r w:rsidRPr="00BD2F71">
        <w:rPr>
          <w:rStyle w:val="Siln"/>
          <w:rFonts w:cstheme="minorHAnsi"/>
          <w:color w:val="212529"/>
          <w:sz w:val="24"/>
          <w:szCs w:val="24"/>
          <w:u w:val="single"/>
          <w:shd w:val="clear" w:color="auto" w:fill="FFFFFF"/>
        </w:rPr>
        <w:t>95 projektů, z toho 12 juniorských</w:t>
      </w:r>
      <w:r w:rsidRPr="00BD2F71">
        <w:rPr>
          <w:rFonts w:cstheme="minorHAnsi"/>
          <w:color w:val="212529"/>
          <w:sz w:val="24"/>
          <w:szCs w:val="24"/>
          <w:shd w:val="clear" w:color="auto" w:fill="FFFFFF"/>
        </w:rPr>
        <w:t> (</w:t>
      </w:r>
      <w:r w:rsidRPr="00BD2F71"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t>tj. standardních 19,30 % a juniorských 20,00 % z celkového počtu hodnocených návrhů projektů</w:t>
      </w:r>
      <w:r w:rsidRPr="00BD2F71">
        <w:rPr>
          <w:rFonts w:cstheme="minorHAnsi"/>
          <w:color w:val="212529"/>
          <w:sz w:val="24"/>
          <w:szCs w:val="24"/>
          <w:shd w:val="clear" w:color="auto" w:fill="FFFFFF"/>
        </w:rPr>
        <w:t>). Náklady účelové podpory na celou dobu řešení projektů financovaných z VES 2022/J představují částku ve výši </w:t>
      </w:r>
      <w:r w:rsidRPr="00BD2F71">
        <w:rPr>
          <w:rStyle w:val="Siln"/>
          <w:rFonts w:cstheme="minorHAnsi"/>
          <w:color w:val="212529"/>
          <w:sz w:val="24"/>
          <w:szCs w:val="24"/>
          <w:shd w:val="clear" w:color="auto" w:fill="FFFFFF"/>
        </w:rPr>
        <w:t>1 070 397 000 Kč, z toho 81 324 000 Kč na juniorské projekty</w:t>
      </w:r>
      <w:r w:rsidRPr="00BD2F71">
        <w:rPr>
          <w:rFonts w:cstheme="minorHAnsi"/>
          <w:color w:val="212529"/>
          <w:sz w:val="24"/>
          <w:szCs w:val="24"/>
          <w:shd w:val="clear" w:color="auto" w:fill="FFFFFF"/>
        </w:rPr>
        <w:t>.</w:t>
      </w:r>
    </w:p>
    <w:p w14:paraId="6970FA75" w14:textId="7203C6B7" w:rsidR="008C5732" w:rsidRDefault="00071F0C">
      <w:pP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071F0C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Financováno 6 hlavní řešitel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 (24 % z podaných)</w:t>
      </w:r>
      <w:r w:rsidRPr="00071F0C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, 7 spoluřešitel 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(33 % z podaných)</w:t>
      </w:r>
    </w:p>
    <w:p w14:paraId="15EB5A76" w14:textId="7DEF96DF" w:rsidR="00AC2844" w:rsidRPr="00AC2844" w:rsidRDefault="00AC2844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AC2844">
        <w:rPr>
          <w:rFonts w:cstheme="minorHAnsi"/>
          <w:color w:val="212529"/>
          <w:sz w:val="24"/>
          <w:szCs w:val="24"/>
          <w:shd w:val="clear" w:color="auto" w:fill="FFFFFF"/>
        </w:rPr>
        <w:t>Hlavní řešitel</w:t>
      </w:r>
    </w:p>
    <w:p w14:paraId="5B0200AF" w14:textId="2798C68E" w:rsidR="008C5732" w:rsidRDefault="008C5732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193C423" wp14:editId="55FCE635">
            <wp:extent cx="5760720" cy="95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br w:type="page"/>
      </w:r>
    </w:p>
    <w:p w14:paraId="7FCC8DD3" w14:textId="18EDB349" w:rsidR="008C5732" w:rsidRPr="00BD2F71" w:rsidRDefault="00AC28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Spoluřešitel</w:t>
      </w:r>
      <w:r w:rsidR="008C5732">
        <w:rPr>
          <w:noProof/>
        </w:rPr>
        <w:drawing>
          <wp:inline distT="0" distB="0" distL="0" distR="0" wp14:anchorId="06445DB9" wp14:editId="7A8338AE">
            <wp:extent cx="5760720" cy="1347470"/>
            <wp:effectExtent l="0" t="0" r="0" b="5080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732" w:rsidRPr="00BD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46FD"/>
    <w:multiLevelType w:val="multilevel"/>
    <w:tmpl w:val="3980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0D"/>
    <w:rsid w:val="00071F0C"/>
    <w:rsid w:val="00217C34"/>
    <w:rsid w:val="00313131"/>
    <w:rsid w:val="004F0A0D"/>
    <w:rsid w:val="008C5732"/>
    <w:rsid w:val="00AC2844"/>
    <w:rsid w:val="00BD2F71"/>
    <w:rsid w:val="00CB4564"/>
    <w:rsid w:val="00F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21AD"/>
  <w15:chartTrackingRefBased/>
  <w15:docId w15:val="{9DCD9A90-47DA-4F51-9810-69751CB8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4F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0A0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17C34"/>
    <w:rPr>
      <w:color w:val="0000FF"/>
      <w:u w:val="single"/>
    </w:rPr>
  </w:style>
  <w:style w:type="paragraph" w:customStyle="1" w:styleId="v1msolistparagraph">
    <w:name w:val="v1msolistparagraph"/>
    <w:basedOn w:val="Normln"/>
    <w:rsid w:val="0007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2" ma:contentTypeDescription="Vytvoří nový dokument" ma:contentTypeScope="" ma:versionID="e6c2ad86cabfbdb5f19aeb9f4b036324">
  <xsd:schema xmlns:xsd="http://www.w3.org/2001/XMLSchema" xmlns:xs="http://www.w3.org/2001/XMLSchema" xmlns:p="http://schemas.microsoft.com/office/2006/metadata/properties" xmlns:ns2="6dcdb075-fa1e-4321-83d1-a1efe6faca73" targetNamespace="http://schemas.microsoft.com/office/2006/metadata/properties" ma:root="true" ma:fieldsID="ca23bd01ca4e80563c723e12ab73d20f" ns2:_="">
    <xsd:import namespace="6dcdb075-fa1e-4321-83d1-a1efe6fac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F137B-EC8E-4A1C-A8AE-4DCFBF9E29B8}"/>
</file>

<file path=customXml/itemProps2.xml><?xml version="1.0" encoding="utf-8"?>
<ds:datastoreItem xmlns:ds="http://schemas.openxmlformats.org/officeDocument/2006/customXml" ds:itemID="{B7389548-9183-4C86-BC1A-E7B4EB465CF6}"/>
</file>

<file path=customXml/itemProps3.xml><?xml version="1.0" encoding="utf-8"?>
<ds:datastoreItem xmlns:ds="http://schemas.openxmlformats.org/officeDocument/2006/customXml" ds:itemID="{C1E6BD79-CDD8-4753-B2EA-DD10CD8A8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Petra Lišková</cp:lastModifiedBy>
  <cp:revision>8</cp:revision>
  <dcterms:created xsi:type="dcterms:W3CDTF">2022-02-18T12:08:00Z</dcterms:created>
  <dcterms:modified xsi:type="dcterms:W3CDTF">2022-03-03T10:08:00Z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