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E4" w:rsidRPr="000A5BB5" w:rsidRDefault="00DB2A0E" w:rsidP="004C2AE4">
      <w:pPr>
        <w:ind w:right="-2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Bod č. 5</w:t>
      </w:r>
      <w:bookmarkStart w:id="0" w:name="_GoBack"/>
      <w:bookmarkEnd w:id="0"/>
      <w:r w:rsidR="004C2AE4" w:rsidRPr="000A5BB5">
        <w:rPr>
          <w:rFonts w:ascii="Century Gothic" w:hAnsi="Century Gothic"/>
          <w:sz w:val="20"/>
          <w:szCs w:val="20"/>
        </w:rPr>
        <w:t>) Komercializace vědeckých výsledků, spin-</w:t>
      </w:r>
      <w:proofErr w:type="spellStart"/>
      <w:r w:rsidR="004C2AE4" w:rsidRPr="000A5BB5">
        <w:rPr>
          <w:rFonts w:ascii="Century Gothic" w:hAnsi="Century Gothic"/>
          <w:sz w:val="20"/>
          <w:szCs w:val="20"/>
        </w:rPr>
        <w:t>off</w:t>
      </w:r>
      <w:proofErr w:type="spellEnd"/>
      <w:r w:rsidR="004C2AE4" w:rsidRPr="000A5BB5">
        <w:rPr>
          <w:rFonts w:ascii="Century Gothic" w:hAnsi="Century Gothic"/>
          <w:sz w:val="20"/>
          <w:szCs w:val="20"/>
        </w:rPr>
        <w:t xml:space="preserve">, patenty </w:t>
      </w:r>
    </w:p>
    <w:p w:rsidR="004C2AE4" w:rsidRPr="000A5BB5" w:rsidRDefault="004C2AE4" w:rsidP="004C2AE4">
      <w:pPr>
        <w:ind w:right="-29"/>
        <w:rPr>
          <w:rFonts w:ascii="Century Gothic" w:hAnsi="Century Gothic"/>
          <w:sz w:val="20"/>
          <w:szCs w:val="20"/>
        </w:rPr>
      </w:pPr>
    </w:p>
    <w:p w:rsidR="004C2AE4" w:rsidRPr="000A5BB5" w:rsidRDefault="004C2AE4" w:rsidP="004C2AE4">
      <w:pPr>
        <w:ind w:right="-29"/>
        <w:rPr>
          <w:rFonts w:ascii="Century Gothic" w:hAnsi="Century Gothic"/>
          <w:sz w:val="20"/>
          <w:szCs w:val="20"/>
        </w:rPr>
      </w:pPr>
      <w:r w:rsidRPr="000A5BB5">
        <w:rPr>
          <w:rFonts w:ascii="Century Gothic" w:hAnsi="Century Gothic"/>
          <w:sz w:val="20"/>
          <w:szCs w:val="20"/>
        </w:rPr>
        <w:t>Další bod – Výzva MPO k hodnocení projektů OP PIK</w:t>
      </w:r>
    </w:p>
    <w:p w:rsidR="004C2AE4" w:rsidRPr="000A5BB5" w:rsidRDefault="004C2AE4" w:rsidP="004C2AE4">
      <w:pPr>
        <w:ind w:right="-29"/>
        <w:rPr>
          <w:rFonts w:ascii="Century Gothic" w:hAnsi="Century Gothic"/>
          <w:sz w:val="20"/>
          <w:szCs w:val="20"/>
        </w:rPr>
      </w:pPr>
    </w:p>
    <w:p w:rsidR="004C2AE4" w:rsidRPr="000A5BB5" w:rsidRDefault="004C2AE4" w:rsidP="004C2AE4">
      <w:pPr>
        <w:ind w:right="-29"/>
        <w:rPr>
          <w:rFonts w:ascii="Century Gothic" w:hAnsi="Century Gothic"/>
          <w:sz w:val="20"/>
          <w:szCs w:val="20"/>
        </w:rPr>
      </w:pPr>
    </w:p>
    <w:p w:rsidR="004C2AE4" w:rsidRPr="000A5BB5" w:rsidRDefault="004C2AE4" w:rsidP="004C2AE4">
      <w:pPr>
        <w:ind w:right="-29"/>
        <w:rPr>
          <w:rFonts w:ascii="Century Gothic" w:hAnsi="Century Gothic"/>
          <w:b/>
          <w:sz w:val="20"/>
          <w:szCs w:val="20"/>
        </w:rPr>
      </w:pPr>
      <w:r w:rsidRPr="000A5BB5">
        <w:rPr>
          <w:rFonts w:ascii="Century Gothic" w:hAnsi="Century Gothic"/>
          <w:b/>
          <w:sz w:val="20"/>
          <w:szCs w:val="20"/>
        </w:rPr>
        <w:t>Komercializace vědeckých výsledků, spin-</w:t>
      </w:r>
      <w:proofErr w:type="spellStart"/>
      <w:r w:rsidRPr="000A5BB5">
        <w:rPr>
          <w:rFonts w:ascii="Century Gothic" w:hAnsi="Century Gothic"/>
          <w:b/>
          <w:sz w:val="20"/>
          <w:szCs w:val="20"/>
        </w:rPr>
        <w:t>off</w:t>
      </w:r>
      <w:proofErr w:type="spellEnd"/>
      <w:r w:rsidRPr="000A5BB5">
        <w:rPr>
          <w:rFonts w:ascii="Century Gothic" w:hAnsi="Century Gothic"/>
          <w:b/>
          <w:sz w:val="20"/>
          <w:szCs w:val="20"/>
        </w:rPr>
        <w:t>, patenty</w:t>
      </w:r>
    </w:p>
    <w:p w:rsidR="00C04060" w:rsidRPr="000A5BB5" w:rsidRDefault="00C04060" w:rsidP="004C2AE4">
      <w:pPr>
        <w:ind w:right="-29"/>
        <w:rPr>
          <w:rFonts w:ascii="Century Gothic" w:hAnsi="Century Gothic"/>
          <w:b/>
          <w:sz w:val="20"/>
          <w:szCs w:val="20"/>
        </w:rPr>
      </w:pPr>
    </w:p>
    <w:p w:rsidR="00B20A19" w:rsidRPr="000A5BB5" w:rsidRDefault="00B20A19" w:rsidP="00B20A19">
      <w:pPr>
        <w:jc w:val="both"/>
        <w:rPr>
          <w:rFonts w:ascii="Century Gothic" w:hAnsi="Century Gothic"/>
          <w:sz w:val="20"/>
          <w:szCs w:val="20"/>
        </w:rPr>
      </w:pPr>
      <w:r w:rsidRPr="000A5BB5">
        <w:rPr>
          <w:rFonts w:ascii="Century Gothic" w:hAnsi="Century Gothic"/>
          <w:b/>
          <w:sz w:val="20"/>
          <w:szCs w:val="20"/>
        </w:rPr>
        <w:t xml:space="preserve">Současná situace: </w:t>
      </w:r>
      <w:r w:rsidRPr="000A5BB5">
        <w:rPr>
          <w:rFonts w:ascii="Century Gothic" w:hAnsi="Century Gothic"/>
          <w:sz w:val="20"/>
          <w:szCs w:val="20"/>
        </w:rPr>
        <w:t>Aktuálně jsou platná opatření rektora č. 46/2018, o realizaci práv duševního vlastnictví na Univerzitě Karlově a č. 47/2018, o transferu znalostí a technologií na Univerzitě Karlově.</w:t>
      </w:r>
      <w:r w:rsidR="005B707D" w:rsidRPr="000A5BB5">
        <w:rPr>
          <w:rFonts w:ascii="Century Gothic" w:hAnsi="Century Gothic"/>
          <w:sz w:val="20"/>
          <w:szCs w:val="20"/>
        </w:rPr>
        <w:t xml:space="preserve"> Dle těchto opatření má zaměstnanec spolupracovat s CPPT a CUIP. Informovanost vedení fakulty se předpokládá, není však explicitně popsaná.</w:t>
      </w:r>
    </w:p>
    <w:p w:rsidR="005B707D" w:rsidRPr="000A5BB5" w:rsidRDefault="005B707D" w:rsidP="00B20A19">
      <w:pPr>
        <w:jc w:val="both"/>
        <w:rPr>
          <w:rFonts w:ascii="Century Gothic" w:hAnsi="Century Gothic"/>
          <w:sz w:val="20"/>
          <w:szCs w:val="20"/>
        </w:rPr>
      </w:pPr>
    </w:p>
    <w:p w:rsidR="005B707D" w:rsidRPr="000A5BB5" w:rsidRDefault="005B707D" w:rsidP="00B20A19">
      <w:pPr>
        <w:jc w:val="both"/>
        <w:rPr>
          <w:rFonts w:ascii="Century Gothic" w:hAnsi="Century Gothic"/>
          <w:sz w:val="20"/>
          <w:szCs w:val="20"/>
        </w:rPr>
      </w:pPr>
      <w:r w:rsidRPr="000A5BB5">
        <w:rPr>
          <w:rFonts w:ascii="Century Gothic" w:hAnsi="Century Gothic"/>
          <w:b/>
          <w:sz w:val="20"/>
          <w:szCs w:val="20"/>
        </w:rPr>
        <w:t>Konflikt:</w:t>
      </w:r>
      <w:r w:rsidRPr="000A5BB5">
        <w:rPr>
          <w:rFonts w:ascii="Century Gothic" w:hAnsi="Century Gothic"/>
          <w:sz w:val="20"/>
          <w:szCs w:val="20"/>
        </w:rPr>
        <w:t xml:space="preserve"> Probíhá </w:t>
      </w:r>
      <w:proofErr w:type="spellStart"/>
      <w:r w:rsidRPr="000A5BB5">
        <w:rPr>
          <w:rFonts w:ascii="Century Gothic" w:hAnsi="Century Gothic"/>
          <w:sz w:val="20"/>
          <w:szCs w:val="20"/>
        </w:rPr>
        <w:t>komercilalizace</w:t>
      </w:r>
      <w:proofErr w:type="spellEnd"/>
      <w:r w:rsidRPr="000A5BB5">
        <w:rPr>
          <w:rFonts w:ascii="Century Gothic" w:hAnsi="Century Gothic"/>
          <w:sz w:val="20"/>
          <w:szCs w:val="20"/>
        </w:rPr>
        <w:t xml:space="preserve"> výsledků výzkumu, aniž by o tom vedení fakulty bylo informováno.</w:t>
      </w:r>
    </w:p>
    <w:p w:rsidR="005B707D" w:rsidRPr="000A5BB5" w:rsidRDefault="005B707D" w:rsidP="00B20A19">
      <w:pPr>
        <w:jc w:val="both"/>
        <w:rPr>
          <w:rFonts w:ascii="Century Gothic" w:hAnsi="Century Gothic"/>
          <w:sz w:val="20"/>
          <w:szCs w:val="20"/>
        </w:rPr>
      </w:pPr>
    </w:p>
    <w:p w:rsidR="005B707D" w:rsidRPr="000A5BB5" w:rsidRDefault="005B707D" w:rsidP="00B20A19">
      <w:pPr>
        <w:jc w:val="both"/>
        <w:rPr>
          <w:rFonts w:ascii="Century Gothic" w:hAnsi="Century Gothic"/>
          <w:b/>
          <w:sz w:val="20"/>
          <w:szCs w:val="20"/>
        </w:rPr>
      </w:pPr>
      <w:r w:rsidRPr="000A5BB5">
        <w:rPr>
          <w:rFonts w:ascii="Century Gothic" w:hAnsi="Century Gothic"/>
          <w:b/>
          <w:sz w:val="20"/>
          <w:szCs w:val="20"/>
        </w:rPr>
        <w:t xml:space="preserve">Způsob řešení: </w:t>
      </w:r>
    </w:p>
    <w:p w:rsidR="005B707D" w:rsidRPr="000A5BB5" w:rsidRDefault="005B707D" w:rsidP="005B707D">
      <w:pPr>
        <w:pStyle w:val="Odstavecseseznamem"/>
        <w:numPr>
          <w:ilvl w:val="0"/>
          <w:numId w:val="10"/>
        </w:numPr>
        <w:jc w:val="both"/>
        <w:rPr>
          <w:rFonts w:ascii="Century Gothic" w:hAnsi="Century Gothic"/>
          <w:sz w:val="20"/>
          <w:szCs w:val="20"/>
          <w:lang w:val="cs-CZ"/>
        </w:rPr>
      </w:pPr>
      <w:r w:rsidRPr="000A5BB5">
        <w:rPr>
          <w:rFonts w:ascii="Century Gothic" w:hAnsi="Century Gothic"/>
          <w:sz w:val="20"/>
          <w:szCs w:val="20"/>
          <w:lang w:val="cs-CZ"/>
        </w:rPr>
        <w:t xml:space="preserve">Předmětné opatření děkana 1/2021 – cílem opatření je přesný návod, jak má zaměstnanec postupovat a koho a jakým způsobem </w:t>
      </w:r>
      <w:proofErr w:type="spellStart"/>
      <w:r w:rsidRPr="000A5BB5">
        <w:rPr>
          <w:rFonts w:ascii="Century Gothic" w:hAnsi="Century Gothic"/>
          <w:sz w:val="20"/>
          <w:szCs w:val="20"/>
          <w:lang w:val="cs-CZ"/>
        </w:rPr>
        <w:t>infomovat</w:t>
      </w:r>
      <w:proofErr w:type="spellEnd"/>
      <w:r w:rsidRPr="000A5BB5">
        <w:rPr>
          <w:rFonts w:ascii="Century Gothic" w:hAnsi="Century Gothic"/>
          <w:sz w:val="20"/>
          <w:szCs w:val="20"/>
          <w:lang w:val="cs-CZ"/>
        </w:rPr>
        <w:t>. Jedná se o obdobný formát jako je již zavedené Oznámení o vynálezu na základě opatření děkana č. 2/2013.</w:t>
      </w:r>
    </w:p>
    <w:p w:rsidR="005B707D" w:rsidRPr="000A5BB5" w:rsidRDefault="005B707D" w:rsidP="005B707D">
      <w:pPr>
        <w:pStyle w:val="Odstavecseseznamem"/>
        <w:numPr>
          <w:ilvl w:val="0"/>
          <w:numId w:val="10"/>
        </w:numPr>
        <w:jc w:val="both"/>
        <w:rPr>
          <w:rFonts w:ascii="Century Gothic" w:hAnsi="Century Gothic"/>
          <w:sz w:val="20"/>
          <w:szCs w:val="20"/>
          <w:lang w:val="cs-CZ"/>
        </w:rPr>
      </w:pPr>
      <w:r w:rsidRPr="000A5BB5">
        <w:rPr>
          <w:rFonts w:ascii="Century Gothic" w:hAnsi="Century Gothic"/>
          <w:sz w:val="20"/>
          <w:szCs w:val="20"/>
          <w:lang w:val="cs-CZ"/>
        </w:rPr>
        <w:t xml:space="preserve">Vzájemná dohoda mezi 1. LF UK a CUIP, která </w:t>
      </w:r>
      <w:r w:rsidR="009E3A15" w:rsidRPr="000A5BB5">
        <w:rPr>
          <w:rFonts w:ascii="Century Gothic" w:hAnsi="Century Gothic"/>
          <w:sz w:val="20"/>
          <w:szCs w:val="20"/>
          <w:lang w:val="cs-CZ"/>
        </w:rPr>
        <w:t xml:space="preserve">stanovuje opět kdy a jakým způsobem se 1. LF UK a CUIP vzájemně informují. Vymezené kontaktní osoby. Dále specifikace dílčích práv a povinností. V průběhu komercializace je cílem, aby stěžejní institucí bylo CUIP, které je k tomuto účelu vytvořeno a má </w:t>
      </w:r>
      <w:proofErr w:type="spellStart"/>
      <w:r w:rsidR="009E3A15" w:rsidRPr="000A5BB5">
        <w:rPr>
          <w:rFonts w:ascii="Century Gothic" w:hAnsi="Century Gothic"/>
          <w:sz w:val="20"/>
          <w:szCs w:val="20"/>
          <w:lang w:val="cs-CZ"/>
        </w:rPr>
        <w:t>personal</w:t>
      </w:r>
      <w:proofErr w:type="spellEnd"/>
      <w:r w:rsidR="009E3A15" w:rsidRPr="000A5BB5">
        <w:rPr>
          <w:rFonts w:ascii="Century Gothic" w:hAnsi="Century Gothic"/>
          <w:sz w:val="20"/>
          <w:szCs w:val="20"/>
          <w:lang w:val="cs-CZ"/>
        </w:rPr>
        <w:t xml:space="preserve"> I zkušenosti. 1. LF UK zůstává právo veta, pro případy, kdy bude mít fakulta opodstatněný důvod nějakou formu komercionalizace neuzavřít.</w:t>
      </w:r>
    </w:p>
    <w:p w:rsidR="005B707D" w:rsidRPr="000A5BB5" w:rsidRDefault="005B707D" w:rsidP="005B707D">
      <w:pPr>
        <w:jc w:val="both"/>
        <w:rPr>
          <w:rFonts w:ascii="Century Gothic" w:hAnsi="Century Gothic"/>
          <w:sz w:val="20"/>
          <w:szCs w:val="20"/>
        </w:rPr>
      </w:pPr>
    </w:p>
    <w:p w:rsidR="005B707D" w:rsidRPr="000A5BB5" w:rsidRDefault="005B707D" w:rsidP="005B707D">
      <w:pPr>
        <w:pStyle w:val="Default"/>
      </w:pPr>
      <w:r w:rsidRPr="000A5BB5">
        <w:rPr>
          <w:rFonts w:ascii="Century Gothic" w:hAnsi="Century Gothic"/>
          <w:b/>
          <w:sz w:val="20"/>
          <w:szCs w:val="20"/>
        </w:rPr>
        <w:t>OR č. 46/2018, Článek 11, bod 5:</w:t>
      </w:r>
      <w:r w:rsidRPr="000A5BB5">
        <w:t xml:space="preserve"> </w:t>
      </w:r>
    </w:p>
    <w:p w:rsidR="005B707D" w:rsidRPr="000A5BB5" w:rsidRDefault="005B707D" w:rsidP="000A5BB5">
      <w:pPr>
        <w:spacing w:after="240"/>
        <w:jc w:val="both"/>
        <w:rPr>
          <w:rFonts w:ascii="Century Gothic" w:hAnsi="Century Gothic"/>
          <w:sz w:val="20"/>
          <w:szCs w:val="20"/>
        </w:rPr>
      </w:pPr>
      <w:r w:rsidRPr="000A5BB5">
        <w:rPr>
          <w:rFonts w:ascii="Century Gothic" w:hAnsi="Century Gothic"/>
          <w:sz w:val="20"/>
          <w:szCs w:val="20"/>
        </w:rPr>
        <w:t xml:space="preserve">Procentuální rozdělení z čistých výnosů komercializace vynálezu: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409"/>
        <w:gridCol w:w="1985"/>
        <w:gridCol w:w="2551"/>
      </w:tblGrid>
      <w:tr w:rsidR="00B20A19" w:rsidRPr="000A5BB5" w:rsidTr="000A5BB5">
        <w:tc>
          <w:tcPr>
            <w:tcW w:w="2127" w:type="dxa"/>
          </w:tcPr>
          <w:p w:rsidR="00B20A19" w:rsidRPr="000A5BB5" w:rsidRDefault="00B20A19" w:rsidP="00D341E5">
            <w:pPr>
              <w:spacing w:line="264" w:lineRule="auto"/>
              <w:jc w:val="both"/>
              <w:rPr>
                <w:bCs/>
                <w:iCs/>
                <w:color w:val="000000"/>
                <w:sz w:val="20"/>
              </w:rPr>
            </w:pPr>
            <w:r w:rsidRPr="000A5BB5">
              <w:rPr>
                <w:bCs/>
                <w:iCs/>
                <w:color w:val="000000"/>
                <w:sz w:val="20"/>
              </w:rPr>
              <w:t>Čistý výnos UK z částek</w:t>
            </w:r>
          </w:p>
        </w:tc>
        <w:tc>
          <w:tcPr>
            <w:tcW w:w="2409" w:type="dxa"/>
          </w:tcPr>
          <w:p w:rsidR="00B20A19" w:rsidRPr="000A5BB5" w:rsidRDefault="00B20A19" w:rsidP="00D341E5">
            <w:pPr>
              <w:spacing w:line="264" w:lineRule="auto"/>
              <w:jc w:val="both"/>
              <w:rPr>
                <w:bCs/>
                <w:iCs/>
                <w:color w:val="000000"/>
                <w:sz w:val="20"/>
              </w:rPr>
            </w:pPr>
            <w:r w:rsidRPr="000A5BB5">
              <w:rPr>
                <w:bCs/>
                <w:iCs/>
                <w:color w:val="000000"/>
                <w:sz w:val="20"/>
              </w:rPr>
              <w:t xml:space="preserve">Výše odměny původci </w:t>
            </w:r>
          </w:p>
        </w:tc>
        <w:tc>
          <w:tcPr>
            <w:tcW w:w="1985" w:type="dxa"/>
          </w:tcPr>
          <w:p w:rsidR="00B20A19" w:rsidRPr="000A5BB5" w:rsidRDefault="00B20A19" w:rsidP="00D341E5">
            <w:pPr>
              <w:spacing w:line="264" w:lineRule="auto"/>
              <w:jc w:val="both"/>
              <w:rPr>
                <w:bCs/>
                <w:iCs/>
                <w:color w:val="000000"/>
                <w:sz w:val="20"/>
              </w:rPr>
            </w:pPr>
            <w:r w:rsidRPr="000A5BB5">
              <w:rPr>
                <w:bCs/>
                <w:iCs/>
                <w:color w:val="000000"/>
                <w:sz w:val="20"/>
              </w:rPr>
              <w:t>Podíl fakulty/součásti</w:t>
            </w:r>
          </w:p>
        </w:tc>
        <w:tc>
          <w:tcPr>
            <w:tcW w:w="2551" w:type="dxa"/>
          </w:tcPr>
          <w:p w:rsidR="00B20A19" w:rsidRPr="000A5BB5" w:rsidRDefault="00B20A19" w:rsidP="00D341E5">
            <w:pPr>
              <w:spacing w:line="264" w:lineRule="auto"/>
              <w:jc w:val="both"/>
              <w:rPr>
                <w:bCs/>
                <w:iCs/>
                <w:color w:val="000000"/>
                <w:sz w:val="20"/>
              </w:rPr>
            </w:pPr>
            <w:r w:rsidRPr="000A5BB5">
              <w:rPr>
                <w:bCs/>
                <w:iCs/>
                <w:color w:val="000000"/>
                <w:sz w:val="20"/>
              </w:rPr>
              <w:t>Podíl UK</w:t>
            </w:r>
          </w:p>
        </w:tc>
      </w:tr>
      <w:tr w:rsidR="00B20A19" w:rsidRPr="000A5BB5" w:rsidTr="000A5BB5">
        <w:tc>
          <w:tcPr>
            <w:tcW w:w="2127" w:type="dxa"/>
          </w:tcPr>
          <w:p w:rsidR="00B20A19" w:rsidRPr="000A5BB5" w:rsidRDefault="00B20A19" w:rsidP="00D341E5">
            <w:pPr>
              <w:spacing w:line="264" w:lineRule="auto"/>
              <w:jc w:val="both"/>
              <w:rPr>
                <w:bCs/>
                <w:iCs/>
                <w:color w:val="000000"/>
                <w:sz w:val="20"/>
              </w:rPr>
            </w:pPr>
            <w:r w:rsidRPr="000A5BB5">
              <w:rPr>
                <w:bCs/>
                <w:iCs/>
                <w:color w:val="000000"/>
                <w:sz w:val="20"/>
              </w:rPr>
              <w:t>do 1 mil. Kč</w:t>
            </w:r>
          </w:p>
        </w:tc>
        <w:tc>
          <w:tcPr>
            <w:tcW w:w="2409" w:type="dxa"/>
          </w:tcPr>
          <w:p w:rsidR="00B20A19" w:rsidRPr="000A5BB5" w:rsidRDefault="00B20A19" w:rsidP="00D341E5">
            <w:pPr>
              <w:spacing w:line="264" w:lineRule="auto"/>
              <w:jc w:val="both"/>
              <w:rPr>
                <w:bCs/>
                <w:iCs/>
                <w:color w:val="000000"/>
                <w:sz w:val="20"/>
              </w:rPr>
            </w:pPr>
            <w:r w:rsidRPr="000A5BB5">
              <w:rPr>
                <w:bCs/>
                <w:iCs/>
                <w:color w:val="000000"/>
                <w:sz w:val="20"/>
              </w:rPr>
              <w:t>55%</w:t>
            </w:r>
          </w:p>
        </w:tc>
        <w:tc>
          <w:tcPr>
            <w:tcW w:w="1985" w:type="dxa"/>
          </w:tcPr>
          <w:p w:rsidR="00B20A19" w:rsidRPr="000A5BB5" w:rsidRDefault="00B20A19" w:rsidP="00D341E5">
            <w:pPr>
              <w:spacing w:line="264" w:lineRule="auto"/>
              <w:jc w:val="both"/>
              <w:rPr>
                <w:bCs/>
                <w:iCs/>
                <w:color w:val="000000"/>
                <w:sz w:val="20"/>
              </w:rPr>
            </w:pPr>
            <w:r w:rsidRPr="000A5BB5">
              <w:rPr>
                <w:bCs/>
                <w:iCs/>
                <w:color w:val="000000"/>
                <w:sz w:val="20"/>
              </w:rPr>
              <w:t>30%</w:t>
            </w:r>
          </w:p>
        </w:tc>
        <w:tc>
          <w:tcPr>
            <w:tcW w:w="2551" w:type="dxa"/>
          </w:tcPr>
          <w:p w:rsidR="00B20A19" w:rsidRPr="000A5BB5" w:rsidRDefault="00B20A19" w:rsidP="00D341E5">
            <w:pPr>
              <w:spacing w:line="264" w:lineRule="auto"/>
              <w:jc w:val="both"/>
              <w:rPr>
                <w:bCs/>
                <w:iCs/>
                <w:color w:val="000000"/>
                <w:sz w:val="20"/>
              </w:rPr>
            </w:pPr>
            <w:r w:rsidRPr="000A5BB5">
              <w:rPr>
                <w:bCs/>
                <w:iCs/>
                <w:color w:val="000000"/>
                <w:sz w:val="20"/>
              </w:rPr>
              <w:t>15%</w:t>
            </w:r>
          </w:p>
        </w:tc>
      </w:tr>
      <w:tr w:rsidR="00B20A19" w:rsidRPr="000A5BB5" w:rsidTr="000A5BB5">
        <w:tc>
          <w:tcPr>
            <w:tcW w:w="2127" w:type="dxa"/>
          </w:tcPr>
          <w:p w:rsidR="00B20A19" w:rsidRPr="000A5BB5" w:rsidRDefault="00B20A19" w:rsidP="00D341E5">
            <w:pPr>
              <w:spacing w:line="264" w:lineRule="auto"/>
              <w:jc w:val="both"/>
              <w:rPr>
                <w:bCs/>
                <w:iCs/>
                <w:color w:val="000000"/>
                <w:sz w:val="20"/>
              </w:rPr>
            </w:pPr>
            <w:r w:rsidRPr="000A5BB5">
              <w:rPr>
                <w:bCs/>
                <w:iCs/>
                <w:color w:val="000000"/>
                <w:sz w:val="20"/>
              </w:rPr>
              <w:t>od 1 mil. Kč do 5 mil. Kč</w:t>
            </w:r>
          </w:p>
        </w:tc>
        <w:tc>
          <w:tcPr>
            <w:tcW w:w="2409" w:type="dxa"/>
          </w:tcPr>
          <w:p w:rsidR="00B20A19" w:rsidRPr="000A5BB5" w:rsidRDefault="00B20A19" w:rsidP="00D341E5">
            <w:pPr>
              <w:spacing w:line="264" w:lineRule="auto"/>
              <w:jc w:val="both"/>
              <w:rPr>
                <w:bCs/>
                <w:iCs/>
                <w:color w:val="000000"/>
                <w:sz w:val="20"/>
              </w:rPr>
            </w:pPr>
            <w:r w:rsidRPr="000A5BB5">
              <w:rPr>
                <w:bCs/>
                <w:iCs/>
                <w:color w:val="000000"/>
                <w:sz w:val="20"/>
              </w:rPr>
              <w:t>550 000 + 40% z částky nad 1 mil. Kč</w:t>
            </w:r>
          </w:p>
        </w:tc>
        <w:tc>
          <w:tcPr>
            <w:tcW w:w="1985" w:type="dxa"/>
          </w:tcPr>
          <w:p w:rsidR="00B20A19" w:rsidRPr="000A5BB5" w:rsidRDefault="00B20A19" w:rsidP="00D341E5">
            <w:pPr>
              <w:spacing w:line="264" w:lineRule="auto"/>
              <w:jc w:val="both"/>
              <w:rPr>
                <w:bCs/>
                <w:iCs/>
                <w:color w:val="000000"/>
                <w:sz w:val="20"/>
              </w:rPr>
            </w:pPr>
            <w:r w:rsidRPr="000A5BB5">
              <w:rPr>
                <w:bCs/>
                <w:iCs/>
                <w:color w:val="000000"/>
                <w:sz w:val="20"/>
              </w:rPr>
              <w:t>300 000 + 40% z částky nad 1 mil. Kč</w:t>
            </w:r>
          </w:p>
        </w:tc>
        <w:tc>
          <w:tcPr>
            <w:tcW w:w="2551" w:type="dxa"/>
          </w:tcPr>
          <w:p w:rsidR="00B20A19" w:rsidRPr="000A5BB5" w:rsidRDefault="00B20A19" w:rsidP="00D341E5">
            <w:pPr>
              <w:spacing w:line="264" w:lineRule="auto"/>
              <w:jc w:val="both"/>
              <w:rPr>
                <w:bCs/>
                <w:iCs/>
                <w:color w:val="000000"/>
                <w:sz w:val="20"/>
              </w:rPr>
            </w:pPr>
            <w:r w:rsidRPr="000A5BB5">
              <w:rPr>
                <w:bCs/>
                <w:iCs/>
                <w:color w:val="000000"/>
                <w:sz w:val="20"/>
              </w:rPr>
              <w:t>150 000 + 20% z částky nad 1 mil. Kč</w:t>
            </w:r>
          </w:p>
        </w:tc>
      </w:tr>
      <w:tr w:rsidR="00B20A19" w:rsidRPr="000A5BB5" w:rsidTr="000A5BB5">
        <w:tc>
          <w:tcPr>
            <w:tcW w:w="2127" w:type="dxa"/>
          </w:tcPr>
          <w:p w:rsidR="00B20A19" w:rsidRPr="000A5BB5" w:rsidRDefault="00B20A19" w:rsidP="00D341E5">
            <w:pPr>
              <w:spacing w:line="264" w:lineRule="auto"/>
              <w:jc w:val="both"/>
              <w:rPr>
                <w:bCs/>
                <w:iCs/>
                <w:color w:val="000000"/>
                <w:sz w:val="20"/>
              </w:rPr>
            </w:pPr>
            <w:r w:rsidRPr="000A5BB5">
              <w:rPr>
                <w:bCs/>
                <w:iCs/>
                <w:color w:val="000000"/>
                <w:sz w:val="20"/>
              </w:rPr>
              <w:t>nad 5 mil Kč</w:t>
            </w:r>
          </w:p>
        </w:tc>
        <w:tc>
          <w:tcPr>
            <w:tcW w:w="2409" w:type="dxa"/>
          </w:tcPr>
          <w:p w:rsidR="00B20A19" w:rsidRPr="000A5BB5" w:rsidRDefault="00B20A19" w:rsidP="00D341E5">
            <w:pPr>
              <w:spacing w:line="264" w:lineRule="auto"/>
              <w:jc w:val="both"/>
              <w:rPr>
                <w:bCs/>
                <w:iCs/>
                <w:color w:val="000000"/>
                <w:sz w:val="20"/>
              </w:rPr>
            </w:pPr>
            <w:r w:rsidRPr="000A5BB5">
              <w:rPr>
                <w:bCs/>
                <w:iCs/>
                <w:color w:val="000000"/>
                <w:sz w:val="20"/>
              </w:rPr>
              <w:t>2 150 000 +25% z částky nad 5 mil. Kč</w:t>
            </w:r>
          </w:p>
        </w:tc>
        <w:tc>
          <w:tcPr>
            <w:tcW w:w="1985" w:type="dxa"/>
          </w:tcPr>
          <w:p w:rsidR="00B20A19" w:rsidRPr="000A5BB5" w:rsidRDefault="00B20A19" w:rsidP="00D341E5">
            <w:pPr>
              <w:spacing w:line="264" w:lineRule="auto"/>
              <w:jc w:val="both"/>
              <w:rPr>
                <w:bCs/>
                <w:iCs/>
                <w:color w:val="000000"/>
                <w:sz w:val="20"/>
              </w:rPr>
            </w:pPr>
            <w:r w:rsidRPr="000A5BB5">
              <w:rPr>
                <w:bCs/>
                <w:iCs/>
                <w:color w:val="000000"/>
                <w:sz w:val="20"/>
              </w:rPr>
              <w:t>1 900 000 + 45% z částky nad 5 mil. Kč</w:t>
            </w:r>
          </w:p>
        </w:tc>
        <w:tc>
          <w:tcPr>
            <w:tcW w:w="2551" w:type="dxa"/>
          </w:tcPr>
          <w:p w:rsidR="00B20A19" w:rsidRPr="000A5BB5" w:rsidRDefault="00B20A19" w:rsidP="00D341E5">
            <w:pPr>
              <w:spacing w:line="264" w:lineRule="auto"/>
              <w:jc w:val="both"/>
              <w:rPr>
                <w:bCs/>
                <w:iCs/>
                <w:color w:val="000000"/>
                <w:sz w:val="20"/>
              </w:rPr>
            </w:pPr>
            <w:r w:rsidRPr="000A5BB5">
              <w:rPr>
                <w:bCs/>
                <w:iCs/>
                <w:color w:val="000000"/>
                <w:sz w:val="20"/>
              </w:rPr>
              <w:t>950 000 + 30% z částky nad 5 mil. Kč</w:t>
            </w:r>
          </w:p>
        </w:tc>
      </w:tr>
    </w:tbl>
    <w:p w:rsidR="00B20A19" w:rsidRPr="000A5BB5" w:rsidRDefault="00B20A19" w:rsidP="004C2AE4">
      <w:pPr>
        <w:ind w:right="-29"/>
        <w:rPr>
          <w:rFonts w:ascii="Century Gothic" w:hAnsi="Century Gothic"/>
          <w:b/>
          <w:sz w:val="20"/>
          <w:szCs w:val="20"/>
        </w:rPr>
      </w:pPr>
    </w:p>
    <w:p w:rsidR="000A5BB5" w:rsidRPr="000A5BB5" w:rsidRDefault="000A5BB5" w:rsidP="000A5BB5">
      <w:pPr>
        <w:ind w:right="-29"/>
        <w:rPr>
          <w:rFonts w:ascii="Century Gothic" w:hAnsi="Century Gothic"/>
          <w:b/>
          <w:sz w:val="20"/>
          <w:szCs w:val="20"/>
        </w:rPr>
      </w:pPr>
      <w:r w:rsidRPr="000A5BB5">
        <w:rPr>
          <w:rFonts w:ascii="Century Gothic" w:hAnsi="Century Gothic"/>
          <w:b/>
          <w:sz w:val="20"/>
          <w:szCs w:val="20"/>
        </w:rPr>
        <w:t>Výzva MPO k hodnocení projektů OP PIK</w:t>
      </w:r>
    </w:p>
    <w:p w:rsidR="000A5BB5" w:rsidRPr="000A5BB5" w:rsidRDefault="000A5BB5" w:rsidP="004C2AE4">
      <w:pPr>
        <w:ind w:right="-29"/>
        <w:rPr>
          <w:rFonts w:ascii="Century Gothic" w:hAnsi="Century Gothic"/>
          <w:b/>
          <w:sz w:val="20"/>
          <w:szCs w:val="20"/>
        </w:rPr>
      </w:pPr>
    </w:p>
    <w:p w:rsidR="00B20A19" w:rsidRPr="000A5BB5" w:rsidRDefault="000A5BB5" w:rsidP="004C2AE4">
      <w:pPr>
        <w:ind w:right="-29"/>
        <w:rPr>
          <w:rFonts w:ascii="Century Gothic" w:hAnsi="Century Gothic"/>
          <w:b/>
          <w:sz w:val="20"/>
          <w:szCs w:val="20"/>
        </w:rPr>
      </w:pPr>
      <w:r w:rsidRPr="000A5BB5">
        <w:rPr>
          <w:rFonts w:ascii="Century Gothic" w:hAnsi="Century Gothic"/>
          <w:sz w:val="20"/>
          <w:szCs w:val="20"/>
        </w:rPr>
        <w:t xml:space="preserve">MPO nás vyzývá ke spolupráci našich zaměstnanců při hodnocení projektů v rámci </w:t>
      </w:r>
      <w:r w:rsidRPr="000A5BB5">
        <w:rPr>
          <w:rFonts w:ascii="Century Gothic" w:hAnsi="Century Gothic"/>
          <w:b/>
          <w:sz w:val="20"/>
          <w:szCs w:val="20"/>
        </w:rPr>
        <w:t>OP PIK</w:t>
      </w:r>
      <w:r w:rsidRPr="000A5BB5">
        <w:rPr>
          <w:rFonts w:ascii="Century Gothic" w:hAnsi="Century Gothic"/>
          <w:sz w:val="20"/>
          <w:szCs w:val="20"/>
        </w:rPr>
        <w:t xml:space="preserve">, v programech </w:t>
      </w:r>
      <w:r w:rsidRPr="000A5BB5">
        <w:rPr>
          <w:rFonts w:ascii="Century Gothic" w:hAnsi="Century Gothic"/>
          <w:b/>
          <w:sz w:val="20"/>
          <w:szCs w:val="20"/>
        </w:rPr>
        <w:t>Aplikace, Inovace a Potenciál.</w:t>
      </w:r>
    </w:p>
    <w:p w:rsidR="000A5BB5" w:rsidRPr="000A5BB5" w:rsidRDefault="000A5BB5" w:rsidP="000A5BB5">
      <w:pPr>
        <w:ind w:right="-29"/>
        <w:rPr>
          <w:rFonts w:ascii="Century Gothic" w:hAnsi="Century Gothic"/>
          <w:sz w:val="20"/>
          <w:szCs w:val="20"/>
        </w:rPr>
      </w:pPr>
      <w:r w:rsidRPr="000A5BB5">
        <w:rPr>
          <w:rFonts w:ascii="Century Gothic" w:hAnsi="Century Gothic"/>
          <w:sz w:val="20"/>
          <w:szCs w:val="20"/>
        </w:rPr>
        <w:t>Kritérium pro výběr hodnotitele je minimálně desetiletá praxe v oboru.</w:t>
      </w:r>
    </w:p>
    <w:p w:rsidR="000A5BB5" w:rsidRPr="000A5BB5" w:rsidRDefault="000A5BB5" w:rsidP="004C2AE4">
      <w:pPr>
        <w:ind w:right="-29"/>
        <w:rPr>
          <w:rFonts w:ascii="Century Gothic" w:hAnsi="Century Gothic"/>
          <w:sz w:val="20"/>
          <w:szCs w:val="20"/>
        </w:rPr>
      </w:pPr>
    </w:p>
    <w:p w:rsidR="00C04060" w:rsidRPr="000A5BB5" w:rsidRDefault="00C04060" w:rsidP="004C2AE4">
      <w:pPr>
        <w:ind w:right="-29"/>
        <w:rPr>
          <w:rFonts w:ascii="Century Gothic" w:hAnsi="Century Gothic"/>
          <w:b/>
          <w:sz w:val="20"/>
          <w:szCs w:val="20"/>
        </w:rPr>
      </w:pPr>
      <w:r w:rsidRPr="000A5BB5">
        <w:rPr>
          <w:rFonts w:ascii="Century Gothic" w:hAnsi="Century Gothic"/>
          <w:b/>
          <w:sz w:val="20"/>
          <w:szCs w:val="20"/>
        </w:rPr>
        <w:t>Přílohy:</w:t>
      </w:r>
    </w:p>
    <w:p w:rsidR="003A35D0" w:rsidRPr="000A5BB5" w:rsidRDefault="003A35D0" w:rsidP="004C2AE4">
      <w:pPr>
        <w:ind w:right="-29"/>
        <w:rPr>
          <w:rFonts w:ascii="Century Gothic" w:hAnsi="Century Gothic"/>
          <w:b/>
          <w:sz w:val="20"/>
          <w:szCs w:val="20"/>
        </w:rPr>
      </w:pPr>
    </w:p>
    <w:p w:rsidR="00C04060" w:rsidRPr="000A5BB5" w:rsidRDefault="00C04060" w:rsidP="00C036EF">
      <w:pPr>
        <w:ind w:left="1410" w:right="-29" w:hanging="1410"/>
        <w:rPr>
          <w:rFonts w:ascii="Century Gothic" w:hAnsi="Century Gothic"/>
          <w:b/>
          <w:sz w:val="20"/>
          <w:szCs w:val="20"/>
        </w:rPr>
      </w:pPr>
      <w:r w:rsidRPr="000A5BB5">
        <w:rPr>
          <w:rFonts w:ascii="Century Gothic" w:hAnsi="Century Gothic"/>
          <w:b/>
          <w:sz w:val="20"/>
          <w:szCs w:val="20"/>
        </w:rPr>
        <w:t xml:space="preserve">Příloha č. 1: </w:t>
      </w:r>
      <w:r w:rsidRPr="000A5BB5">
        <w:rPr>
          <w:rFonts w:ascii="Century Gothic" w:hAnsi="Century Gothic"/>
          <w:b/>
          <w:sz w:val="20"/>
          <w:szCs w:val="20"/>
        </w:rPr>
        <w:tab/>
      </w:r>
      <w:r w:rsidRPr="000A5BB5">
        <w:rPr>
          <w:rFonts w:ascii="Century Gothic" w:hAnsi="Century Gothic"/>
          <w:sz w:val="20"/>
          <w:szCs w:val="20"/>
        </w:rPr>
        <w:t>Opatření děkana č. 1/2021, kterým se stanoví závazná pravidla postupu zaměstnanců 1. LF UK při komercializaci výsledků výzkumu a vývoje</w:t>
      </w:r>
      <w:r w:rsidR="00C036EF">
        <w:rPr>
          <w:rFonts w:ascii="Century Gothic" w:hAnsi="Century Gothic"/>
          <w:sz w:val="20"/>
          <w:szCs w:val="20"/>
        </w:rPr>
        <w:t xml:space="preserve">, včetně přílohy </w:t>
      </w:r>
      <w:r w:rsidRPr="000A5BB5">
        <w:rPr>
          <w:rFonts w:ascii="Century Gothic" w:hAnsi="Century Gothic"/>
          <w:b/>
          <w:sz w:val="20"/>
          <w:szCs w:val="20"/>
        </w:rPr>
        <w:tab/>
      </w:r>
      <w:r w:rsidRPr="000A5BB5">
        <w:rPr>
          <w:rFonts w:ascii="Century Gothic" w:hAnsi="Century Gothic"/>
          <w:sz w:val="20"/>
          <w:szCs w:val="20"/>
        </w:rPr>
        <w:t>Oznámení o plánu komercializace výsledků výzkumu a vývoje - OOPK</w:t>
      </w:r>
    </w:p>
    <w:p w:rsidR="00C04060" w:rsidRPr="000A5BB5" w:rsidRDefault="00C04060" w:rsidP="00C04060">
      <w:pPr>
        <w:ind w:left="1410" w:right="-29" w:hanging="1410"/>
        <w:rPr>
          <w:rFonts w:ascii="Century Gothic" w:hAnsi="Century Gothic"/>
          <w:sz w:val="20"/>
          <w:szCs w:val="20"/>
        </w:rPr>
      </w:pPr>
      <w:r w:rsidRPr="000A5BB5">
        <w:rPr>
          <w:rFonts w:ascii="Century Gothic" w:hAnsi="Century Gothic"/>
          <w:b/>
          <w:sz w:val="20"/>
          <w:szCs w:val="20"/>
        </w:rPr>
        <w:t xml:space="preserve">Příloha č. </w:t>
      </w:r>
      <w:r w:rsidR="00C036EF">
        <w:rPr>
          <w:rFonts w:ascii="Century Gothic" w:hAnsi="Century Gothic"/>
          <w:b/>
          <w:sz w:val="20"/>
          <w:szCs w:val="20"/>
        </w:rPr>
        <w:t>2</w:t>
      </w:r>
      <w:r w:rsidRPr="000A5BB5">
        <w:rPr>
          <w:rFonts w:ascii="Century Gothic" w:hAnsi="Century Gothic"/>
          <w:b/>
          <w:sz w:val="20"/>
          <w:szCs w:val="20"/>
        </w:rPr>
        <w:t>:</w:t>
      </w:r>
      <w:r w:rsidRPr="000A5BB5">
        <w:rPr>
          <w:rFonts w:ascii="Century Gothic" w:hAnsi="Century Gothic"/>
          <w:sz w:val="20"/>
          <w:szCs w:val="20"/>
        </w:rPr>
        <w:t xml:space="preserve"> </w:t>
      </w:r>
      <w:r w:rsidRPr="000A5BB5">
        <w:rPr>
          <w:rFonts w:ascii="Century Gothic" w:hAnsi="Century Gothic"/>
          <w:sz w:val="20"/>
          <w:szCs w:val="20"/>
        </w:rPr>
        <w:tab/>
      </w:r>
      <w:r w:rsidR="00B20A19" w:rsidRPr="000A5BB5">
        <w:rPr>
          <w:rFonts w:ascii="Century Gothic" w:hAnsi="Century Gothic"/>
          <w:sz w:val="20"/>
          <w:szCs w:val="20"/>
        </w:rPr>
        <w:t xml:space="preserve">Příloha pověření Odpovědné osoby pro transfer 1. LF UK - kompetence </w:t>
      </w:r>
    </w:p>
    <w:p w:rsidR="00B20A19" w:rsidRPr="000A5BB5" w:rsidRDefault="00B20A19" w:rsidP="00C04060">
      <w:pPr>
        <w:ind w:left="1410" w:right="-29" w:hanging="1410"/>
        <w:rPr>
          <w:rFonts w:ascii="Century Gothic" w:hAnsi="Century Gothic"/>
          <w:sz w:val="20"/>
          <w:szCs w:val="20"/>
        </w:rPr>
      </w:pPr>
      <w:r w:rsidRPr="000A5BB5">
        <w:rPr>
          <w:rFonts w:ascii="Century Gothic" w:hAnsi="Century Gothic"/>
          <w:b/>
          <w:sz w:val="20"/>
          <w:szCs w:val="20"/>
        </w:rPr>
        <w:t xml:space="preserve">Příloha č. </w:t>
      </w:r>
      <w:r w:rsidR="00C036EF">
        <w:rPr>
          <w:rFonts w:ascii="Century Gothic" w:hAnsi="Century Gothic"/>
          <w:b/>
          <w:sz w:val="20"/>
          <w:szCs w:val="20"/>
        </w:rPr>
        <w:t>3</w:t>
      </w:r>
      <w:r w:rsidRPr="000A5BB5">
        <w:rPr>
          <w:rFonts w:ascii="Century Gothic" w:hAnsi="Century Gothic"/>
          <w:b/>
          <w:sz w:val="20"/>
          <w:szCs w:val="20"/>
        </w:rPr>
        <w:t>:</w:t>
      </w:r>
      <w:r w:rsidRPr="000A5BB5">
        <w:rPr>
          <w:rFonts w:ascii="Century Gothic" w:hAnsi="Century Gothic"/>
          <w:b/>
          <w:sz w:val="20"/>
          <w:szCs w:val="20"/>
        </w:rPr>
        <w:tab/>
      </w:r>
      <w:r w:rsidRPr="000A5BB5">
        <w:rPr>
          <w:rFonts w:ascii="Century Gothic" w:hAnsi="Century Gothic"/>
          <w:sz w:val="20"/>
          <w:szCs w:val="20"/>
        </w:rPr>
        <w:t>Dohoda o vzájemné spolupráci za účelem stanovení závazných pravidel postupu při komercializaci výsledků výzkumu a vývoje vytvořených zaměstnanci 1. LF UK</w:t>
      </w:r>
    </w:p>
    <w:p w:rsidR="004C2AE4" w:rsidRDefault="00C04060" w:rsidP="000A5BB5">
      <w:pPr>
        <w:ind w:right="-29"/>
        <w:rPr>
          <w:color w:val="212121"/>
          <w:lang w:eastAsia="cs-CZ"/>
        </w:rPr>
      </w:pPr>
      <w:r w:rsidRPr="000A5BB5">
        <w:rPr>
          <w:rFonts w:ascii="Century Gothic" w:hAnsi="Century Gothic"/>
          <w:b/>
          <w:sz w:val="20"/>
          <w:szCs w:val="20"/>
        </w:rPr>
        <w:t xml:space="preserve">Příloha č. </w:t>
      </w:r>
      <w:r w:rsidR="00C036EF">
        <w:rPr>
          <w:rFonts w:ascii="Century Gothic" w:hAnsi="Century Gothic"/>
          <w:b/>
          <w:sz w:val="20"/>
          <w:szCs w:val="20"/>
        </w:rPr>
        <w:t>4</w:t>
      </w:r>
      <w:r w:rsidRPr="000A5BB5">
        <w:rPr>
          <w:rFonts w:ascii="Century Gothic" w:hAnsi="Century Gothic"/>
          <w:b/>
          <w:sz w:val="20"/>
          <w:szCs w:val="20"/>
        </w:rPr>
        <w:t>:</w:t>
      </w:r>
      <w:r w:rsidRPr="000A5BB5">
        <w:rPr>
          <w:rFonts w:ascii="Century Gothic" w:hAnsi="Century Gothic"/>
          <w:sz w:val="20"/>
          <w:szCs w:val="20"/>
        </w:rPr>
        <w:t xml:space="preserve"> </w:t>
      </w:r>
      <w:r w:rsidRPr="000A5BB5">
        <w:rPr>
          <w:rFonts w:ascii="Century Gothic" w:hAnsi="Century Gothic"/>
          <w:sz w:val="20"/>
          <w:szCs w:val="20"/>
        </w:rPr>
        <w:tab/>
        <w:t>Mail MPO s výzvou k hodnocení projektů OP PIK</w:t>
      </w:r>
    </w:p>
    <w:sectPr w:rsidR="004C2A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E3C" w:rsidRDefault="00551E3C" w:rsidP="004C2AE4">
      <w:r>
        <w:separator/>
      </w:r>
    </w:p>
  </w:endnote>
  <w:endnote w:type="continuationSeparator" w:id="0">
    <w:p w:rsidR="00551E3C" w:rsidRDefault="00551E3C" w:rsidP="004C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E3C" w:rsidRDefault="00551E3C" w:rsidP="004C2AE4">
      <w:r>
        <w:separator/>
      </w:r>
    </w:p>
  </w:footnote>
  <w:footnote w:type="continuationSeparator" w:id="0">
    <w:p w:rsidR="00551E3C" w:rsidRDefault="00551E3C" w:rsidP="004C2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A92" w:rsidRDefault="000B7A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B2C44"/>
    <w:multiLevelType w:val="hybridMultilevel"/>
    <w:tmpl w:val="4E2C77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2D60E9"/>
    <w:multiLevelType w:val="multilevel"/>
    <w:tmpl w:val="C76E61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2F8299A"/>
    <w:multiLevelType w:val="multilevel"/>
    <w:tmpl w:val="79346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7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B8529A"/>
    <w:multiLevelType w:val="hybridMultilevel"/>
    <w:tmpl w:val="4E2C77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D85D0F"/>
    <w:multiLevelType w:val="hybridMultilevel"/>
    <w:tmpl w:val="4E2C77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3507C0"/>
    <w:multiLevelType w:val="hybridMultilevel"/>
    <w:tmpl w:val="99EEC1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1C"/>
    <w:rsid w:val="000A5BB5"/>
    <w:rsid w:val="000B7A92"/>
    <w:rsid w:val="001729AD"/>
    <w:rsid w:val="00216482"/>
    <w:rsid w:val="003A35D0"/>
    <w:rsid w:val="00444C2D"/>
    <w:rsid w:val="004C2AE4"/>
    <w:rsid w:val="00525C1C"/>
    <w:rsid w:val="00551E3C"/>
    <w:rsid w:val="005B707D"/>
    <w:rsid w:val="009E3A15"/>
    <w:rsid w:val="00A60A03"/>
    <w:rsid w:val="00B20A19"/>
    <w:rsid w:val="00B420D0"/>
    <w:rsid w:val="00C036EF"/>
    <w:rsid w:val="00C04060"/>
    <w:rsid w:val="00DB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55784-4F5F-4068-B29C-C8472B1C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AE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C2AE4"/>
    <w:rPr>
      <w:color w:val="0000FF"/>
      <w:u w:val="single"/>
    </w:rPr>
  </w:style>
  <w:style w:type="paragraph" w:customStyle="1" w:styleId="xmsonormal">
    <w:name w:val="x_msonormal"/>
    <w:basedOn w:val="Normln"/>
    <w:rsid w:val="004C2AE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C2AE4"/>
    <w:pPr>
      <w:spacing w:after="160" w:line="259" w:lineRule="auto"/>
      <w:ind w:left="720"/>
      <w:contextualSpacing/>
    </w:pPr>
    <w:rPr>
      <w:rFonts w:asciiTheme="minorHAnsi" w:hAnsiTheme="minorHAnsi" w:cstheme="minorBidi"/>
      <w:lang w:val="en-GB"/>
    </w:rPr>
  </w:style>
  <w:style w:type="character" w:styleId="Siln">
    <w:name w:val="Strong"/>
    <w:basedOn w:val="Standardnpsmoodstavce"/>
    <w:uiPriority w:val="22"/>
    <w:qFormat/>
    <w:rsid w:val="004C2AE4"/>
    <w:rPr>
      <w:b/>
      <w:bCs/>
    </w:rPr>
  </w:style>
  <w:style w:type="paragraph" w:customStyle="1" w:styleId="Default">
    <w:name w:val="Default"/>
    <w:rsid w:val="004C2A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C2AE4"/>
    <w:pPr>
      <w:tabs>
        <w:tab w:val="center" w:pos="4536"/>
        <w:tab w:val="right" w:pos="9072"/>
      </w:tabs>
    </w:pPr>
    <w:rPr>
      <w:rFonts w:asciiTheme="minorHAnsi" w:hAnsiTheme="minorHAnsi" w:cstheme="minorBidi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4C2AE4"/>
    <w:rPr>
      <w:lang w:val="en-GB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4C2AE4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uiPriority w:val="99"/>
    <w:rsid w:val="004C2AE4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C0406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cislo">
    <w:name w:val="NORM_cislo"/>
    <w:basedOn w:val="Odstavecseseznamem"/>
    <w:link w:val="NORMcisloChar"/>
    <w:qFormat/>
    <w:rsid w:val="00C04060"/>
    <w:pPr>
      <w:numPr>
        <w:numId w:val="6"/>
      </w:numPr>
      <w:autoSpaceDE w:val="0"/>
      <w:autoSpaceDN w:val="0"/>
      <w:adjustRightInd w:val="0"/>
      <w:spacing w:after="120" w:line="276" w:lineRule="auto"/>
      <w:contextualSpacing w:val="0"/>
      <w:jc w:val="both"/>
    </w:pPr>
    <w:rPr>
      <w:rFonts w:ascii="Arial" w:eastAsia="Calibri" w:hAnsi="Arial" w:cs="Arial"/>
      <w:iCs/>
      <w:lang w:val="cs-CZ"/>
    </w:rPr>
  </w:style>
  <w:style w:type="character" w:customStyle="1" w:styleId="NORMcisloChar">
    <w:name w:val="NORM_cislo Char"/>
    <w:link w:val="NORMcislo"/>
    <w:rsid w:val="00C04060"/>
    <w:rPr>
      <w:rFonts w:ascii="Arial" w:eastAsia="Calibri" w:hAnsi="Arial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373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Malina</dc:creator>
  <cp:keywords/>
  <dc:description/>
  <cp:lastModifiedBy>Jana Nováková</cp:lastModifiedBy>
  <cp:revision>8</cp:revision>
  <dcterms:created xsi:type="dcterms:W3CDTF">2021-01-27T15:48:00Z</dcterms:created>
  <dcterms:modified xsi:type="dcterms:W3CDTF">2021-01-29T11:23:00Z</dcterms:modified>
</cp:coreProperties>
</file>