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:rsidTr="00027642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25" w:rsidRDefault="00027642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Doc. RNDr. Ivan Mazura, CSc. (360)</w:t>
            </w:r>
          </w:p>
          <w:p w:rsidR="00A36E85" w:rsidRPr="00FB0E64" w:rsidRDefault="00A36E85" w:rsidP="00A36E8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Vybudování laboratoře forenzní biologie na ÚSL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</w:tcPr>
          <w:p w:rsidR="00D15825" w:rsidRPr="00027642" w:rsidRDefault="00027642" w:rsidP="001D594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27642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677174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39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☒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67717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67717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67717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677174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39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67717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39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677174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67717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677174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67717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67717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67717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539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677174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67717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67717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677174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67717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67717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67717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67717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677174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677174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67717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67717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67717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677174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67717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bookmarkStart w:id="0" w:name="_GoBack" w:colFirst="2" w:colLast="3"/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677174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:rsidTr="00C26683">
        <w:trPr>
          <w:trHeight w:val="566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Nástroj </w:t>
            </w:r>
            <w:r w:rsidR="00423984"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DD5" w:rsidRPr="003F316D" w:rsidRDefault="00253FD8" w:rsidP="00253FD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Laboratoř forenzní biologie pro výuku pregraduálních a postgraduálních studentů.</w:t>
            </w:r>
          </w:p>
        </w:tc>
      </w:tr>
      <w:bookmarkEnd w:id="0"/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253FD8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253FD8" w:rsidRPr="00253FD8" w:rsidRDefault="00506E99" w:rsidP="00253FD8">
            <w:pPr>
              <w:pStyle w:val="Textkomente"/>
              <w:spacing w:after="0"/>
              <w:jc w:val="both"/>
              <w:rPr>
                <w:rFonts w:eastAsia="Times New Roman" w:cstheme="minorHAnsi"/>
                <w:b/>
                <w:sz w:val="22"/>
                <w:szCs w:val="22"/>
                <w:lang w:eastAsia="cs-CZ"/>
              </w:rPr>
            </w:pPr>
            <w:r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>II.</w:t>
            </w:r>
            <w:r w:rsidR="00D86600"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 xml:space="preserve"> </w:t>
            </w:r>
            <w:r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>-</w:t>
            </w:r>
            <w:r w:rsidR="00D86600"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 xml:space="preserve"> </w:t>
            </w:r>
            <w:r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>Stěžejní činnost fakulty</w:t>
            </w:r>
          </w:p>
          <w:p w:rsidR="00253FD8" w:rsidRPr="00253FD8" w:rsidRDefault="00506E99" w:rsidP="00253FD8">
            <w:pPr>
              <w:pStyle w:val="Textkomente"/>
              <w:spacing w:after="0"/>
              <w:jc w:val="both"/>
              <w:rPr>
                <w:rFonts w:eastAsia="Times New Roman" w:cstheme="minorHAnsi"/>
                <w:b/>
                <w:sz w:val="22"/>
                <w:szCs w:val="22"/>
                <w:lang w:eastAsia="cs-CZ"/>
              </w:rPr>
            </w:pPr>
            <w:r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>1.</w:t>
            </w:r>
            <w:r w:rsidR="00D86600"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 xml:space="preserve"> </w:t>
            </w:r>
            <w:r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>Pedagogická činnost</w:t>
            </w:r>
          </w:p>
          <w:p w:rsidR="00D86600" w:rsidRPr="00253FD8" w:rsidRDefault="00506E99" w:rsidP="00253FD8">
            <w:pPr>
              <w:pStyle w:val="Textkomente"/>
              <w:spacing w:after="0"/>
              <w:jc w:val="both"/>
              <w:rPr>
                <w:rFonts w:cstheme="minorHAnsi"/>
                <w:sz w:val="22"/>
                <w:szCs w:val="22"/>
              </w:rPr>
            </w:pPr>
            <w:r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>Cíl 2</w:t>
            </w:r>
            <w:r w:rsidR="00253FD8" w:rsidRPr="00253FD8">
              <w:rPr>
                <w:rFonts w:eastAsia="Times New Roman" w:cstheme="minorHAnsi"/>
                <w:b/>
                <w:sz w:val="22"/>
                <w:szCs w:val="22"/>
                <w:lang w:eastAsia="cs-CZ"/>
              </w:rPr>
              <w:t>:</w:t>
            </w:r>
            <w:r w:rsidRPr="00253FD8">
              <w:rPr>
                <w:rFonts w:cstheme="minorHAnsi"/>
                <w:sz w:val="22"/>
                <w:szCs w:val="22"/>
              </w:rPr>
              <w:t xml:space="preserve"> zkvalitňovat podmínky a výsledky specializačního a celoživotního vzdělávání ve zdravotnictví a postgraduálního studia </w:t>
            </w:r>
          </w:p>
          <w:p w:rsidR="00D86600" w:rsidRPr="00253FD8" w:rsidRDefault="00253FD8" w:rsidP="00253FD8">
            <w:pPr>
              <w:pStyle w:val="Textkomente"/>
              <w:spacing w:after="0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253FD8">
              <w:rPr>
                <w:rFonts w:cstheme="minorHAnsi"/>
                <w:b/>
                <w:sz w:val="22"/>
                <w:szCs w:val="22"/>
              </w:rPr>
              <w:t>K</w:t>
            </w:r>
            <w:r w:rsidR="00D86600" w:rsidRPr="00253FD8">
              <w:rPr>
                <w:rFonts w:cstheme="minorHAnsi"/>
                <w:b/>
                <w:sz w:val="22"/>
                <w:szCs w:val="22"/>
              </w:rPr>
              <w:t>roky:</w:t>
            </w:r>
          </w:p>
          <w:p w:rsidR="00D15825" w:rsidRPr="00253FD8" w:rsidRDefault="00D86600" w:rsidP="00253FD8">
            <w:pPr>
              <w:pStyle w:val="Textkomente"/>
              <w:spacing w:after="0"/>
              <w:jc w:val="both"/>
              <w:rPr>
                <w:rFonts w:ascii="Cambria" w:eastAsia="Times New Roman" w:hAnsi="Cambria" w:cs="Arial"/>
                <w:color w:val="000000"/>
                <w:sz w:val="22"/>
                <w:szCs w:val="22"/>
                <w:lang w:eastAsia="cs-CZ"/>
              </w:rPr>
            </w:pPr>
            <w:r w:rsidRPr="00253FD8">
              <w:rPr>
                <w:rFonts w:cstheme="minorHAnsi"/>
                <w:sz w:val="22"/>
                <w:szCs w:val="22"/>
              </w:rPr>
              <w:t xml:space="preserve">- </w:t>
            </w:r>
            <w:r w:rsidR="00506E99" w:rsidRPr="00253FD8">
              <w:rPr>
                <w:rFonts w:cstheme="minorHAnsi"/>
                <w:sz w:val="22"/>
                <w:szCs w:val="22"/>
              </w:rPr>
              <w:t>hodnotit a stimulovat úspěšnost postgraduálního vzdělávání na jednotlivých pracovištích.</w:t>
            </w:r>
          </w:p>
        </w:tc>
      </w:tr>
    </w:tbl>
    <w:p w:rsidR="00D15825" w:rsidRPr="00253FD8" w:rsidRDefault="00D15825" w:rsidP="00253FD8">
      <w:pPr>
        <w:spacing w:line="240" w:lineRule="auto"/>
        <w:jc w:val="center"/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1733C9" w:rsidRPr="00FB0E64" w:rsidTr="001733C9">
        <w:trPr>
          <w:trHeight w:val="610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1733C9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733C9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733C9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733C9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733C9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733C9" w:rsidRPr="00FB0E64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D594B" w:rsidRDefault="001D594B" w:rsidP="001D594B">
            <w:pPr>
              <w:pStyle w:val="Textkomente"/>
              <w:jc w:val="both"/>
              <w:rPr>
                <w:rFonts w:ascii="Cambria" w:eastAsia="Times New Roman" w:hAnsi="Cambria" w:cs="Arial"/>
                <w:color w:val="00000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lang w:eastAsia="cs-CZ"/>
              </w:rPr>
              <w:t>Tento projekt navazuje na projekt Institucionálního plánu fakulty 2016-2018 s cílem vybudovat laboratoř forenzní biologie (LFB) Ústavu soudního lékařství a toxikologie 1.</w:t>
            </w:r>
            <w:r w:rsidR="001F5B01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lang w:eastAsia="cs-CZ"/>
              </w:rPr>
              <w:t>LF</w:t>
            </w:r>
            <w:r w:rsidR="001F5B01">
              <w:rPr>
                <w:rFonts w:ascii="Cambria" w:eastAsia="Times New Roman" w:hAnsi="Cambria" w:cs="Arial"/>
                <w:color w:val="00000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lang w:eastAsia="cs-CZ"/>
              </w:rPr>
              <w:t>UK. Z projektu bylo realizováno přístrojové vybavení. Laboratoř je využívána pro výuku pregraduálních a postgraduálních studentů a zavádění molekulárně biologických postupů jako např. izolace DNA z posmrtně degradovaných tkání. Studium posmrtných degradačních procesů v závislosti na době od smrti je jedním z výzkumných záměrů ústavu. Toto téma lze řešit např. zjištěním časové posloupnosti degradačních procesů vybraných biomolekul pomocí separačních technik. Mezi takové techniky patří již delší čas známá metoda Comet assay používaná k separaci fragmentů nukleových kyselin různé velikosti (nejedná se o izolaci DNA za účelem získáních informací v genech či v jejich podrobné struktuře), ale také pro diferenciaci dalších jaderných biomolekul či jejich částí, objevujících se v „post mortem“ intervalu od okamžiku smrti do 96 hodin po úmrtí. Tyto procesy posmrtné degradace jsou tkáňově specifické a je velmi potřebné kaskádu dějů v různých lidských tkáních popsat v závislosti na čase. Comet assay by po optimalizační fázi vhodně doplnila již existující metodické zázemí LFB (činnost LFB v období 2016-2018) a mohla by být dalším účinným nástrojem studia procesu degradace jaderných či mimojaderných biomolekul v závislosti na době od smrti jedince. Určení doby od smrti je jedním z klíčových problémů v soudním lékařství s dopadem do více odvětví společnosti (kriminalistika, justice). Kromě předpokládaných praktických výsledků, budou elektroforeogramy demonstrovány pregraduálním studentům jako příklad časných autolytických procesů jaderných biomolekul.</w:t>
            </w:r>
          </w:p>
          <w:p w:rsidR="001733C9" w:rsidRDefault="001733C9" w:rsidP="001733C9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2C61B1">
              <w:rPr>
                <w:rFonts w:ascii="Cambria" w:eastAsia="Times New Roman" w:hAnsi="Cambria" w:cs="Arial"/>
                <w:b/>
                <w:i/>
                <w:color w:val="000000"/>
                <w:sz w:val="20"/>
                <w:szCs w:val="20"/>
                <w:lang w:eastAsia="cs-CZ"/>
              </w:rPr>
              <w:t>Rok 2019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– </w:t>
            </w:r>
          </w:p>
          <w:p w:rsidR="001733C9" w:rsidRDefault="001733C9" w:rsidP="001733C9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a) Optimalizace 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separační </w:t>
            </w: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metody Comet assay jako nedílné součásti metodické výbavy laboratoře forenzní biologie pro 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vybrané tkáně.</w:t>
            </w:r>
          </w:p>
          <w:p w:rsidR="001733C9" w:rsidRPr="002C61B1" w:rsidRDefault="001733C9" w:rsidP="001733C9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1733C9" w:rsidRDefault="001733C9" w:rsidP="001733C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2C61B1">
              <w:rPr>
                <w:rFonts w:ascii="Cambria" w:eastAsia="Times New Roman" w:hAnsi="Cambria" w:cs="Arial"/>
                <w:b/>
                <w:i/>
                <w:color w:val="000000"/>
                <w:sz w:val="20"/>
                <w:szCs w:val="20"/>
                <w:lang w:eastAsia="cs-CZ"/>
              </w:rPr>
              <w:t>Rok 2020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 - </w:t>
            </w:r>
          </w:p>
          <w:p w:rsidR="001733C9" w:rsidRDefault="001733C9" w:rsidP="001733C9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a)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FF3FA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Příprava výukových materiálů</w:t>
            </w:r>
            <w:r w:rsid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(protokolů)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pro studenty 4.</w:t>
            </w:r>
            <w:r w:rsidR="00D8660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ročníku k demonstracím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postupné degradace nukleových kyselin a histonů v závislosti na čase od úmrtí jedince.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Vytvoření forenzně biologick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ých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obraz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ů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časových pásem v době od smrti jedince po 96 hodin u vybraných tkání. </w:t>
            </w:r>
          </w:p>
          <w:p w:rsidR="001733C9" w:rsidRDefault="001733C9" w:rsidP="001733C9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</w:p>
          <w:p w:rsidR="001733C9" w:rsidRPr="00D15825" w:rsidRDefault="001733C9" w:rsidP="00D86600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b)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Prezentace  metody Comet assay studentům pregraduálního i postgraduálního stupně studia všeobecného lékařství.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Tato metoda bude demonstrována jak studentům medic</w:t>
            </w:r>
            <w:r w:rsidR="00D8660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í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ny 4. ročníku všeobecného i stomatologického směru, tak studentům, kteří si zvolí nepovinný předmět Genetika pro forenzní identifikace ve svém semestrálním curriculu.</w:t>
            </w:r>
            <w:r w:rsidR="003362A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Demonstrace mohou mimo 1.</w:t>
            </w:r>
            <w:r w:rsidR="00D8660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362A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LF</w:t>
            </w:r>
            <w:r w:rsidR="00D8660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3362A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UK být </w:t>
            </w:r>
            <w:r w:rsidR="003362AE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lastRenderedPageBreak/>
              <w:t>nabídnuty i studentům jiných vysokých škol přírodovědného či chemicko-technologického zaměření, ale také zájmovým skupinám mimo resort školství (např. resort spravedlnosti, zdravotnictví, obrany, vnitra či osobám integrovaného záchranného systému)</w:t>
            </w:r>
            <w:r w:rsidR="00D8660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1733C9" w:rsidRPr="00FB0E64" w:rsidTr="00D15825">
        <w:trPr>
          <w:trHeight w:val="156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1733C9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733C9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733C9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1733C9" w:rsidRPr="00FB0E64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733C9" w:rsidRPr="002C61B1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Indikátory realizace pro rok 2019:</w:t>
            </w:r>
          </w:p>
          <w:p w:rsidR="001733C9" w:rsidRDefault="001733C9" w:rsidP="001733C9">
            <w:pPr>
              <w:tabs>
                <w:tab w:val="left" w:pos="122"/>
                <w:tab w:val="left" w:pos="386"/>
              </w:tabs>
              <w:spacing w:after="0" w:line="240" w:lineRule="auto"/>
              <w:ind w:left="122" w:hanging="12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1)Zavedení metody Comet Assay do běžného laboratorního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procesu</w:t>
            </w:r>
          </w:p>
          <w:p w:rsidR="001733C9" w:rsidRPr="008E3B42" w:rsidRDefault="001733C9" w:rsidP="001733C9">
            <w:pPr>
              <w:tabs>
                <w:tab w:val="left" w:pos="122"/>
                <w:tab w:val="left" w:pos="386"/>
              </w:tabs>
              <w:spacing w:after="0" w:line="240" w:lineRule="auto"/>
              <w:ind w:left="122" w:hanging="12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v LFB. 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(Nová výbava laboratoře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1733C9" w:rsidRPr="008E3B42" w:rsidRDefault="001733C9" w:rsidP="001733C9">
            <w:pPr>
              <w:tabs>
                <w:tab w:val="left" w:pos="122"/>
                <w:tab w:val="left" w:pos="386"/>
              </w:tabs>
              <w:spacing w:after="0" w:line="240" w:lineRule="auto"/>
              <w:ind w:left="122" w:hanging="12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2)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Instalace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kamery 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Lucia camera QI825, 1,4 Mpix 2/3“, černobílá CCD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kamera s chlazením (17</w:t>
            </w:r>
            <w:r w:rsidR="002703C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</w:t>
            </w:r>
            <w:r w:rsidR="00D8660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tis.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Kč).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(Nová výbava laboratoře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1733C9" w:rsidRDefault="001733C9" w:rsidP="001733C9">
            <w:pPr>
              <w:tabs>
                <w:tab w:val="left" w:pos="122"/>
                <w:tab w:val="left" w:pos="386"/>
              </w:tabs>
              <w:spacing w:after="0" w:line="240" w:lineRule="auto"/>
              <w:ind w:left="122" w:hanging="12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3)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Instalace softwaru Lucia Comet Assay analysis - pro analýzu</w:t>
            </w:r>
          </w:p>
          <w:p w:rsidR="001733C9" w:rsidRPr="008E3B42" w:rsidRDefault="001733C9" w:rsidP="001733C9">
            <w:pPr>
              <w:tabs>
                <w:tab w:val="left" w:pos="122"/>
                <w:tab w:val="left" w:pos="386"/>
              </w:tabs>
              <w:spacing w:after="0" w:line="240" w:lineRule="auto"/>
              <w:ind w:left="122" w:hanging="12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poškození DNA – single cell electrophoresis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na doporučeném počítači (sw: 120</w:t>
            </w:r>
            <w:r w:rsidR="00D8660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tis. Kč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, PC a monitor </w:t>
            </w:r>
            <w:r w:rsidR="00D8660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40 tis</w:t>
            </w:r>
            <w:r w:rsidR="00253FD8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Kč)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(Nová výbava laboratoře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1733C9" w:rsidRDefault="001733C9" w:rsidP="001733C9">
            <w:pPr>
              <w:tabs>
                <w:tab w:val="left" w:pos="122"/>
                <w:tab w:val="left" w:pos="386"/>
              </w:tabs>
              <w:spacing w:after="0" w:line="240" w:lineRule="auto"/>
              <w:ind w:left="122" w:hanging="12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4)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Nákup 2 sad pipet pro práce s Comet assay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a spotřebního </w:t>
            </w:r>
          </w:p>
          <w:p w:rsidR="001733C9" w:rsidRPr="008E3B42" w:rsidRDefault="001733C9" w:rsidP="001733C9">
            <w:pPr>
              <w:tabs>
                <w:tab w:val="left" w:pos="122"/>
                <w:tab w:val="left" w:pos="386"/>
              </w:tabs>
              <w:spacing w:after="0" w:line="240" w:lineRule="auto"/>
              <w:ind w:left="122" w:hanging="12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   Materiálu pro systém horizontální elektroforézy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(Nová výbava laboratoře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1733C9" w:rsidRDefault="001733C9" w:rsidP="001733C9">
            <w:pPr>
              <w:tabs>
                <w:tab w:val="left" w:pos="122"/>
                <w:tab w:val="left" w:pos="386"/>
              </w:tabs>
              <w:spacing w:after="0" w:line="240" w:lineRule="auto"/>
              <w:ind w:left="122" w:hanging="12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5)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Nákup počítače včetně softwaru pro vyhodnocování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Comet Assay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(Nová výbava laboratoře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1733C9" w:rsidRDefault="001733C9" w:rsidP="001733C9">
            <w:pPr>
              <w:tabs>
                <w:tab w:val="left" w:pos="122"/>
                <w:tab w:val="left" w:pos="386"/>
              </w:tabs>
              <w:spacing w:after="0" w:line="240" w:lineRule="auto"/>
              <w:ind w:left="122" w:hanging="122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6)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Testování metody Comet Assay pro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vybrané tkáně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(Nově zavedená separační metoda).</w:t>
            </w:r>
          </w:p>
          <w:p w:rsidR="001733C9" w:rsidRPr="002C61B1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Indikátory realizace pro rok 2020:</w:t>
            </w:r>
          </w:p>
          <w:p w:rsidR="001733C9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1)Nákup aparatury pro ultračistou vodu na přípravu nízkotuhnoucích agarózových gelů pro realizaci Comet Assay. 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(</w:t>
            </w:r>
            <w:r w:rsidR="001F5B0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7</w:t>
            </w:r>
            <w:r w:rsidR="00506E99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</w:t>
            </w:r>
            <w:r w:rsidR="001F5B0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tis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  <w:r w:rsidR="001F5B0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E3B4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Kč).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(Nová výbava laboratoře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1733C9" w:rsidRPr="008E3B42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2)Vybavení LFB horizontálními elektroforézami pro separační analýzy biomolekul.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(Nová výbava laboratoře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1733C9" w:rsidRPr="001A01DF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3)</w:t>
            </w:r>
            <w:r w:rsidRPr="001A01D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Nákup 2 sad pipet pro práce studentů s metodou Comet assay. 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(Nová výbava laboratoře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)</w:t>
            </w:r>
          </w:p>
          <w:p w:rsidR="001733C9" w:rsidRPr="00B82377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4)</w:t>
            </w:r>
            <w:r w:rsidRPr="00AF12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Vypracování protokolu pro demonstrační semináře pregraduálních i postgraduálních studentů 1.</w:t>
            </w:r>
            <w:r w:rsidR="001F5B0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12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LF</w:t>
            </w:r>
            <w:r w:rsidR="001F5B0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12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UK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82377" w:rsidRPr="00B82377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(Prováděcí protokol k separační metodě).</w:t>
            </w:r>
          </w:p>
          <w:p w:rsidR="001733C9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5)</w:t>
            </w:r>
            <w:r w:rsidRPr="00AF12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Osvojení si metody pro vybrané tkáně studenty postgraduální </w:t>
            </w:r>
          </w:p>
          <w:p w:rsidR="001733C9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   </w:t>
            </w:r>
            <w:r w:rsidRPr="00AF12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úrovně studia 1.</w:t>
            </w:r>
            <w:r w:rsidR="001F5B0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12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LF</w:t>
            </w:r>
            <w:r w:rsidR="001F5B0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12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UK (Mgr. L.</w:t>
            </w:r>
            <w:r w:rsidR="001F5B01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AF12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Hrušková, MUDr. J. Horáková, </w:t>
            </w:r>
          </w:p>
          <w:p w:rsidR="001733C9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  </w:t>
            </w:r>
            <w:r w:rsidRPr="00AF125A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MUDr. P. Hollý).</w:t>
            </w:r>
            <w:r w:rsidR="00B8237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82377" w:rsidRPr="0058281B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(</w:t>
            </w:r>
            <w:r w:rsidR="0058281B" w:rsidRPr="0058281B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Demonstrační protokoly)</w:t>
            </w:r>
          </w:p>
          <w:p w:rsidR="001733C9" w:rsidRPr="00AF125A" w:rsidRDefault="001733C9" w:rsidP="001733C9">
            <w:pPr>
              <w:tabs>
                <w:tab w:val="left" w:pos="122"/>
              </w:tabs>
              <w:spacing w:after="0" w:line="240" w:lineRule="auto"/>
              <w:ind w:left="122" w:hanging="122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6)Demonstrace metody a výsledků pregraduálním studentům</w:t>
            </w:r>
            <w:r w:rsidR="0058281B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58281B" w:rsidRPr="0058281B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(Demonstrační protokoly)</w:t>
            </w:r>
          </w:p>
        </w:tc>
      </w:tr>
      <w:tr w:rsidR="001733C9" w:rsidRPr="00FB0E64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1733C9" w:rsidRDefault="001733C9" w:rsidP="001733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Výchozí stav</w:t>
            </w:r>
          </w:p>
          <w:p w:rsidR="001733C9" w:rsidRPr="00FB0E64" w:rsidRDefault="001733C9" w:rsidP="001733C9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1733C9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:rsidR="001733C9" w:rsidRPr="00FB0E64" w:rsidRDefault="001733C9" w:rsidP="001733C9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733C9" w:rsidRPr="00D15825" w:rsidRDefault="001733C9" w:rsidP="00253FD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Laboratoř forenzn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í</w:t>
            </w: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biologie v současné chvíli technikou Comet Assay nedisponuje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 přestože se ukazuje být metoda pro analýzu degradace v post mortem intervalu jako značně použitelná. Studium degradačních procesů biomolekul je třeba v LFB v následujících dvou letech (2019-2020) zavést do laboratorního provozu. Laboratoř je připravena personálně, včetně studentů PGS se danou tématikou systematicky zabývat.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1733C9" w:rsidRPr="00D15825" w:rsidRDefault="001733C9" w:rsidP="00253FD8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Používání metody Comet assay v rámci portfolia metod jako nedílné součásti metodického zázemí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LFB</w:t>
            </w:r>
            <w:r w:rsidRPr="002C61B1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.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Nezbytné doplnění již existujícího přístrojového vybavení o kamerový systém včetně počítače a softwaru, aparatury pro ultračistou (deionizovanou) vodu, dvou horizontálních elektroforéz a několika sad pipet pro sterilní práce s forenzními vzorky je základní podmínkou pro úspěšné zvládnutí techniky pro soudně-lékařskou praxi.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:rsidTr="00C4282A">
        <w:trPr>
          <w:trHeight w:val="30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E6B8B7"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:rsidTr="00C4282A">
        <w:trPr>
          <w:trHeight w:val="263"/>
        </w:trPr>
        <w:tc>
          <w:tcPr>
            <w:tcW w:w="294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7C5" w:rsidRPr="00FB0E64" w:rsidRDefault="001733C9" w:rsidP="002C626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</w:t>
            </w:r>
            <w:r w:rsidR="0017696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</w:t>
            </w:r>
            <w:r w:rsidR="002C626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2C626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7C5" w:rsidRPr="00FB0E64" w:rsidRDefault="00176967" w:rsidP="002C626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3E37C5" w:rsidRPr="00FB0E64" w:rsidRDefault="001733C9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49</w:t>
            </w:r>
            <w:r w:rsidR="0017696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3E37C5" w:rsidRPr="00FB0E64" w:rsidTr="00C4282A">
        <w:trPr>
          <w:trHeight w:val="262"/>
        </w:trPr>
        <w:tc>
          <w:tcPr>
            <w:tcW w:w="2940" w:type="dxa"/>
            <w:vMerge/>
            <w:tcBorders>
              <w:top w:val="single" w:sz="4" w:space="0" w:color="auto"/>
            </w:tcBorders>
            <w:vAlign w:val="center"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7C5" w:rsidRDefault="001733C9" w:rsidP="00D8660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</w:t>
            </w:r>
            <w:r w:rsidR="0017696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</w:t>
            </w:r>
            <w:r w:rsidR="00D8660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7C5" w:rsidRPr="00FB0E64" w:rsidRDefault="001733C9" w:rsidP="002C6260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17</w:t>
            </w:r>
            <w:r w:rsidR="0017696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000000" w:fill="FABF8F"/>
            <w:noWrap/>
            <w:vAlign w:val="center"/>
          </w:tcPr>
          <w:p w:rsidR="003E37C5" w:rsidRPr="00FB0E64" w:rsidRDefault="001733C9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49</w:t>
            </w:r>
            <w:r w:rsidR="00176967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</w:tbl>
    <w:p w:rsidR="001733C9" w:rsidRDefault="001733C9" w:rsidP="00C4282A">
      <w:pPr>
        <w:pBdr>
          <w:between w:val="single" w:sz="8" w:space="1" w:color="auto"/>
        </w:pBdr>
      </w:pPr>
    </w:p>
    <w:sectPr w:rsidR="001733C9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74" w:rsidRDefault="00677174" w:rsidP="000D45E6">
      <w:pPr>
        <w:spacing w:after="0" w:line="240" w:lineRule="auto"/>
      </w:pPr>
      <w:r>
        <w:separator/>
      </w:r>
    </w:p>
  </w:endnote>
  <w:endnote w:type="continuationSeparator" w:id="0">
    <w:p w:rsidR="00677174" w:rsidRDefault="00677174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26683" w:rsidRPr="00C26683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26683" w:rsidRPr="00C26683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74" w:rsidRDefault="00677174" w:rsidP="000D45E6">
      <w:pPr>
        <w:spacing w:after="0" w:line="240" w:lineRule="auto"/>
      </w:pPr>
      <w:r>
        <w:separator/>
      </w:r>
    </w:p>
  </w:footnote>
  <w:footnote w:type="continuationSeparator" w:id="0">
    <w:p w:rsidR="00677174" w:rsidRDefault="00677174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4E01F39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27642"/>
    <w:rsid w:val="00051BD3"/>
    <w:rsid w:val="00053F40"/>
    <w:rsid w:val="00057B34"/>
    <w:rsid w:val="00067C48"/>
    <w:rsid w:val="000A2589"/>
    <w:rsid w:val="000A639B"/>
    <w:rsid w:val="000C40A4"/>
    <w:rsid w:val="000D45E6"/>
    <w:rsid w:val="00100EED"/>
    <w:rsid w:val="00124DBB"/>
    <w:rsid w:val="001336C6"/>
    <w:rsid w:val="00134249"/>
    <w:rsid w:val="001733C9"/>
    <w:rsid w:val="00176967"/>
    <w:rsid w:val="00177D69"/>
    <w:rsid w:val="00194B92"/>
    <w:rsid w:val="001A09AF"/>
    <w:rsid w:val="001A0F15"/>
    <w:rsid w:val="001C2C86"/>
    <w:rsid w:val="001D594B"/>
    <w:rsid w:val="001E42E2"/>
    <w:rsid w:val="001E5D50"/>
    <w:rsid w:val="001F4C02"/>
    <w:rsid w:val="001F5B01"/>
    <w:rsid w:val="00204116"/>
    <w:rsid w:val="00207E43"/>
    <w:rsid w:val="00221370"/>
    <w:rsid w:val="00253FD8"/>
    <w:rsid w:val="00256073"/>
    <w:rsid w:val="00264231"/>
    <w:rsid w:val="002703C7"/>
    <w:rsid w:val="00287008"/>
    <w:rsid w:val="002931C8"/>
    <w:rsid w:val="00294DD8"/>
    <w:rsid w:val="002A3F1E"/>
    <w:rsid w:val="002B6C64"/>
    <w:rsid w:val="002C6260"/>
    <w:rsid w:val="002D171F"/>
    <w:rsid w:val="002D3333"/>
    <w:rsid w:val="0033141E"/>
    <w:rsid w:val="003314B4"/>
    <w:rsid w:val="003362AE"/>
    <w:rsid w:val="003411EF"/>
    <w:rsid w:val="00342DE7"/>
    <w:rsid w:val="003562F8"/>
    <w:rsid w:val="00357569"/>
    <w:rsid w:val="0035758C"/>
    <w:rsid w:val="003739B7"/>
    <w:rsid w:val="00373EE2"/>
    <w:rsid w:val="003E2719"/>
    <w:rsid w:val="003E37C5"/>
    <w:rsid w:val="003F316D"/>
    <w:rsid w:val="00417231"/>
    <w:rsid w:val="00423984"/>
    <w:rsid w:val="0042654A"/>
    <w:rsid w:val="00484DD5"/>
    <w:rsid w:val="00493811"/>
    <w:rsid w:val="00494D82"/>
    <w:rsid w:val="00497E50"/>
    <w:rsid w:val="004C368C"/>
    <w:rsid w:val="004C60FD"/>
    <w:rsid w:val="004D3041"/>
    <w:rsid w:val="004F3912"/>
    <w:rsid w:val="00506E99"/>
    <w:rsid w:val="00521B22"/>
    <w:rsid w:val="005222BC"/>
    <w:rsid w:val="005410CF"/>
    <w:rsid w:val="00562244"/>
    <w:rsid w:val="0056234C"/>
    <w:rsid w:val="00562799"/>
    <w:rsid w:val="0058281B"/>
    <w:rsid w:val="005A25F6"/>
    <w:rsid w:val="005B6F7B"/>
    <w:rsid w:val="005C6F44"/>
    <w:rsid w:val="005D6AA3"/>
    <w:rsid w:val="005E60AC"/>
    <w:rsid w:val="005F444D"/>
    <w:rsid w:val="005F5BAA"/>
    <w:rsid w:val="005F6269"/>
    <w:rsid w:val="00605716"/>
    <w:rsid w:val="00612757"/>
    <w:rsid w:val="006311E8"/>
    <w:rsid w:val="0064377E"/>
    <w:rsid w:val="00645A24"/>
    <w:rsid w:val="00650778"/>
    <w:rsid w:val="00677174"/>
    <w:rsid w:val="006B41F9"/>
    <w:rsid w:val="006C2143"/>
    <w:rsid w:val="006D2829"/>
    <w:rsid w:val="006F2A45"/>
    <w:rsid w:val="007000BE"/>
    <w:rsid w:val="00722489"/>
    <w:rsid w:val="00724D1F"/>
    <w:rsid w:val="007347AE"/>
    <w:rsid w:val="00756409"/>
    <w:rsid w:val="007733F5"/>
    <w:rsid w:val="0079468D"/>
    <w:rsid w:val="007D5508"/>
    <w:rsid w:val="007E2672"/>
    <w:rsid w:val="007E2817"/>
    <w:rsid w:val="007E605C"/>
    <w:rsid w:val="00804F1E"/>
    <w:rsid w:val="008155BD"/>
    <w:rsid w:val="0082559B"/>
    <w:rsid w:val="00827BAE"/>
    <w:rsid w:val="0085408A"/>
    <w:rsid w:val="008600D7"/>
    <w:rsid w:val="00867CBA"/>
    <w:rsid w:val="00874C7F"/>
    <w:rsid w:val="008A2FC1"/>
    <w:rsid w:val="008A6E65"/>
    <w:rsid w:val="008C22D6"/>
    <w:rsid w:val="008D25BD"/>
    <w:rsid w:val="008D46C2"/>
    <w:rsid w:val="008E0DB9"/>
    <w:rsid w:val="008E2B21"/>
    <w:rsid w:val="0091548D"/>
    <w:rsid w:val="009249EB"/>
    <w:rsid w:val="00932889"/>
    <w:rsid w:val="00933108"/>
    <w:rsid w:val="00997AB0"/>
    <w:rsid w:val="009C21D1"/>
    <w:rsid w:val="009C27D5"/>
    <w:rsid w:val="009C422C"/>
    <w:rsid w:val="009D249F"/>
    <w:rsid w:val="009D3583"/>
    <w:rsid w:val="00A2708D"/>
    <w:rsid w:val="00A32477"/>
    <w:rsid w:val="00A36E85"/>
    <w:rsid w:val="00A51C11"/>
    <w:rsid w:val="00A659A8"/>
    <w:rsid w:val="00A661E1"/>
    <w:rsid w:val="00A712AB"/>
    <w:rsid w:val="00A71D3F"/>
    <w:rsid w:val="00A731C1"/>
    <w:rsid w:val="00A83389"/>
    <w:rsid w:val="00A856AC"/>
    <w:rsid w:val="00A875EC"/>
    <w:rsid w:val="00A952A1"/>
    <w:rsid w:val="00AB744C"/>
    <w:rsid w:val="00AC6ED1"/>
    <w:rsid w:val="00AD5FF6"/>
    <w:rsid w:val="00B34CB8"/>
    <w:rsid w:val="00B4134F"/>
    <w:rsid w:val="00B4707A"/>
    <w:rsid w:val="00B525E2"/>
    <w:rsid w:val="00B72C11"/>
    <w:rsid w:val="00B82377"/>
    <w:rsid w:val="00B932DC"/>
    <w:rsid w:val="00BA0611"/>
    <w:rsid w:val="00BA322D"/>
    <w:rsid w:val="00BB2F3A"/>
    <w:rsid w:val="00BD3913"/>
    <w:rsid w:val="00BD4314"/>
    <w:rsid w:val="00BD4C72"/>
    <w:rsid w:val="00C200F5"/>
    <w:rsid w:val="00C26683"/>
    <w:rsid w:val="00C40D38"/>
    <w:rsid w:val="00C4282A"/>
    <w:rsid w:val="00C62E47"/>
    <w:rsid w:val="00C65590"/>
    <w:rsid w:val="00C744D7"/>
    <w:rsid w:val="00C756B0"/>
    <w:rsid w:val="00C77464"/>
    <w:rsid w:val="00C81AF7"/>
    <w:rsid w:val="00C93905"/>
    <w:rsid w:val="00CA6DBA"/>
    <w:rsid w:val="00CB277A"/>
    <w:rsid w:val="00CC4F6A"/>
    <w:rsid w:val="00CD71D1"/>
    <w:rsid w:val="00CE445D"/>
    <w:rsid w:val="00CF1A21"/>
    <w:rsid w:val="00D030CF"/>
    <w:rsid w:val="00D048EA"/>
    <w:rsid w:val="00D15825"/>
    <w:rsid w:val="00D21FFD"/>
    <w:rsid w:val="00D22BCF"/>
    <w:rsid w:val="00D36902"/>
    <w:rsid w:val="00D46015"/>
    <w:rsid w:val="00D47A21"/>
    <w:rsid w:val="00D47BE5"/>
    <w:rsid w:val="00D53C2A"/>
    <w:rsid w:val="00D73265"/>
    <w:rsid w:val="00D82FB2"/>
    <w:rsid w:val="00D86600"/>
    <w:rsid w:val="00D86748"/>
    <w:rsid w:val="00DA6174"/>
    <w:rsid w:val="00DB1F54"/>
    <w:rsid w:val="00DB3D09"/>
    <w:rsid w:val="00DE25EF"/>
    <w:rsid w:val="00E04539"/>
    <w:rsid w:val="00E0716B"/>
    <w:rsid w:val="00E16B9B"/>
    <w:rsid w:val="00E330E8"/>
    <w:rsid w:val="00E61F5B"/>
    <w:rsid w:val="00E64884"/>
    <w:rsid w:val="00E715C7"/>
    <w:rsid w:val="00E842CA"/>
    <w:rsid w:val="00E97BC3"/>
    <w:rsid w:val="00EA11A4"/>
    <w:rsid w:val="00F06FDD"/>
    <w:rsid w:val="00F07AA9"/>
    <w:rsid w:val="00F14F89"/>
    <w:rsid w:val="00F23C48"/>
    <w:rsid w:val="00F25619"/>
    <w:rsid w:val="00F409BD"/>
    <w:rsid w:val="00F65B2F"/>
    <w:rsid w:val="00F67111"/>
    <w:rsid w:val="00F67332"/>
    <w:rsid w:val="00F746D9"/>
    <w:rsid w:val="00F905D8"/>
    <w:rsid w:val="00F94A1F"/>
    <w:rsid w:val="00FA3473"/>
    <w:rsid w:val="00FC16EC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2BA0-C50C-4C93-BE63-A04A10A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286C7-B3BA-4661-9DD7-E3DC81F7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1327</Words>
  <Characters>7835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Institucionální plán fakulty/součásti pro roky 2019-2020</vt:lpstr>
      <vt:lpstr>Institucionální plán fakulty/součásti pro roky 2019-2020</vt:lpstr>
    </vt:vector>
  </TitlesOfParts>
  <Company>Univerzita Karlova v Praze</Company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5</cp:revision>
  <cp:lastPrinted>2018-08-30T08:41:00Z</cp:lastPrinted>
  <dcterms:created xsi:type="dcterms:W3CDTF">2018-08-29T07:34:00Z</dcterms:created>
  <dcterms:modified xsi:type="dcterms:W3CDTF">2018-08-30T08:45:00Z</dcterms:modified>
</cp:coreProperties>
</file>