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5D" w:rsidRPr="0085645D" w:rsidRDefault="0085645D" w:rsidP="0085645D">
      <w:pPr>
        <w:jc w:val="center"/>
        <w:rPr>
          <w:b/>
          <w:sz w:val="28"/>
          <w:szCs w:val="28"/>
        </w:rPr>
      </w:pPr>
      <w:r w:rsidRPr="0085645D">
        <w:rPr>
          <w:b/>
          <w:sz w:val="28"/>
          <w:szCs w:val="28"/>
        </w:rPr>
        <w:t>HODNOCENÍ VÝUKY STUDENTY ZA ROK 201</w:t>
      </w:r>
      <w:r w:rsidR="00BC2C09">
        <w:rPr>
          <w:b/>
          <w:sz w:val="28"/>
          <w:szCs w:val="28"/>
        </w:rPr>
        <w:t>6</w:t>
      </w:r>
      <w:r w:rsidRPr="0085645D">
        <w:rPr>
          <w:b/>
          <w:sz w:val="28"/>
          <w:szCs w:val="28"/>
        </w:rPr>
        <w:t>/201</w:t>
      </w:r>
      <w:r w:rsidR="00BC2C09">
        <w:rPr>
          <w:b/>
          <w:sz w:val="28"/>
          <w:szCs w:val="28"/>
        </w:rPr>
        <w:t>7</w:t>
      </w:r>
    </w:p>
    <w:p w:rsidR="0085645D" w:rsidRDefault="0085645D" w:rsidP="0085645D">
      <w:pPr>
        <w:jc w:val="center"/>
        <w:rPr>
          <w:b/>
        </w:rPr>
      </w:pPr>
    </w:p>
    <w:p w:rsidR="00BC2C09" w:rsidRDefault="0085645D">
      <w:pPr>
        <w:rPr>
          <w:b/>
        </w:rPr>
      </w:pPr>
      <w:r>
        <w:rPr>
          <w:b/>
        </w:rPr>
        <w:t>Počty hodnocení</w:t>
      </w:r>
    </w:p>
    <w:tbl>
      <w:tblPr>
        <w:tblW w:w="8820" w:type="dxa"/>
        <w:tblCellMar>
          <w:left w:w="70" w:type="dxa"/>
          <w:right w:w="70" w:type="dxa"/>
        </w:tblCellMar>
        <w:tblLook w:val="04A0" w:firstRow="1" w:lastRow="0" w:firstColumn="1" w:lastColumn="0" w:noHBand="0" w:noVBand="1"/>
      </w:tblPr>
      <w:tblGrid>
        <w:gridCol w:w="3060"/>
        <w:gridCol w:w="960"/>
        <w:gridCol w:w="960"/>
        <w:gridCol w:w="960"/>
        <w:gridCol w:w="960"/>
        <w:gridCol w:w="960"/>
        <w:gridCol w:w="960"/>
      </w:tblGrid>
      <w:tr w:rsidR="00BC2C09" w:rsidRPr="00BC2C09" w:rsidTr="00BC2C09">
        <w:trPr>
          <w:trHeight w:val="290"/>
        </w:trPr>
        <w:tc>
          <w:tcPr>
            <w:tcW w:w="3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rPr>
                <w:rFonts w:ascii="Calibri" w:eastAsia="Times New Roman" w:hAnsi="Calibri" w:cs="Calibri"/>
                <w:color w:val="000000"/>
                <w:lang w:eastAsia="cs-CZ"/>
              </w:rPr>
            </w:pPr>
            <w:r w:rsidRPr="00BC2C09">
              <w:rPr>
                <w:rFonts w:ascii="Calibri" w:eastAsia="Times New Roman" w:hAnsi="Calibri" w:cs="Calibri"/>
                <w:color w:val="000000"/>
                <w:lang w:eastAsia="cs-CZ"/>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center"/>
              <w:rPr>
                <w:rFonts w:ascii="Calibri" w:eastAsia="Times New Roman" w:hAnsi="Calibri" w:cs="Calibri"/>
                <w:color w:val="000000"/>
                <w:lang w:eastAsia="cs-CZ"/>
              </w:rPr>
            </w:pPr>
            <w:r w:rsidRPr="00BC2C09">
              <w:rPr>
                <w:rFonts w:ascii="Calibri" w:eastAsia="Times New Roman" w:hAnsi="Calibri" w:cs="Calibri"/>
                <w:color w:val="000000"/>
                <w:lang w:eastAsia="cs-CZ"/>
              </w:rPr>
              <w:t>2011/12</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center"/>
              <w:rPr>
                <w:rFonts w:ascii="Calibri" w:eastAsia="Times New Roman" w:hAnsi="Calibri" w:cs="Calibri"/>
                <w:color w:val="000000"/>
                <w:lang w:eastAsia="cs-CZ"/>
              </w:rPr>
            </w:pPr>
            <w:r w:rsidRPr="00BC2C09">
              <w:rPr>
                <w:rFonts w:ascii="Calibri" w:eastAsia="Times New Roman" w:hAnsi="Calibri" w:cs="Calibri"/>
                <w:color w:val="000000"/>
                <w:lang w:eastAsia="cs-CZ"/>
              </w:rPr>
              <w:t>2012/13</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center"/>
              <w:rPr>
                <w:rFonts w:ascii="Calibri" w:eastAsia="Times New Roman" w:hAnsi="Calibri" w:cs="Calibri"/>
                <w:color w:val="000000"/>
                <w:lang w:eastAsia="cs-CZ"/>
              </w:rPr>
            </w:pPr>
            <w:r w:rsidRPr="00BC2C09">
              <w:rPr>
                <w:rFonts w:ascii="Calibri" w:eastAsia="Times New Roman" w:hAnsi="Calibri" w:cs="Calibri"/>
                <w:color w:val="000000"/>
                <w:lang w:eastAsia="cs-CZ"/>
              </w:rPr>
              <w:t>2013/14</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center"/>
              <w:rPr>
                <w:rFonts w:ascii="Calibri" w:eastAsia="Times New Roman" w:hAnsi="Calibri" w:cs="Calibri"/>
                <w:color w:val="000000"/>
                <w:lang w:eastAsia="cs-CZ"/>
              </w:rPr>
            </w:pPr>
            <w:r w:rsidRPr="00BC2C09">
              <w:rPr>
                <w:rFonts w:ascii="Calibri" w:eastAsia="Times New Roman" w:hAnsi="Calibri" w:cs="Calibri"/>
                <w:color w:val="000000"/>
                <w:lang w:eastAsia="cs-CZ"/>
              </w:rPr>
              <w:t>2014/15</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center"/>
              <w:rPr>
                <w:rFonts w:ascii="Calibri" w:eastAsia="Times New Roman" w:hAnsi="Calibri" w:cs="Calibri"/>
                <w:color w:val="000000"/>
                <w:lang w:eastAsia="cs-CZ"/>
              </w:rPr>
            </w:pPr>
            <w:r w:rsidRPr="00BC2C09">
              <w:rPr>
                <w:rFonts w:ascii="Calibri" w:eastAsia="Times New Roman" w:hAnsi="Calibri" w:cs="Calibri"/>
                <w:color w:val="000000"/>
                <w:lang w:eastAsia="cs-CZ"/>
              </w:rPr>
              <w:t>2015/16</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BC2C09" w:rsidRPr="00BC2C09" w:rsidRDefault="00BC2C09" w:rsidP="00BC2C09">
            <w:pPr>
              <w:spacing w:after="0" w:line="240" w:lineRule="auto"/>
              <w:jc w:val="center"/>
              <w:rPr>
                <w:rFonts w:ascii="Calibri" w:eastAsia="Times New Roman" w:hAnsi="Calibri" w:cs="Calibri"/>
                <w:color w:val="000000"/>
                <w:lang w:eastAsia="cs-CZ"/>
              </w:rPr>
            </w:pPr>
            <w:r w:rsidRPr="00BC2C09">
              <w:rPr>
                <w:rFonts w:ascii="Calibri" w:eastAsia="Times New Roman" w:hAnsi="Calibri" w:cs="Calibri"/>
                <w:color w:val="000000"/>
                <w:lang w:eastAsia="cs-CZ"/>
              </w:rPr>
              <w:t>2016/17</w:t>
            </w:r>
          </w:p>
        </w:tc>
      </w:tr>
      <w:tr w:rsidR="00BC2C09" w:rsidRPr="00BC2C09" w:rsidTr="00BC2C09">
        <w:trPr>
          <w:trHeight w:val="290"/>
        </w:trPr>
        <w:tc>
          <w:tcPr>
            <w:tcW w:w="3060" w:type="dxa"/>
            <w:tcBorders>
              <w:top w:val="nil"/>
              <w:left w:val="single" w:sz="8" w:space="0" w:color="auto"/>
              <w:bottom w:val="single" w:sz="4" w:space="0" w:color="auto"/>
              <w:right w:val="single" w:sz="4" w:space="0" w:color="auto"/>
            </w:tcBorders>
            <w:shd w:val="clear" w:color="auto" w:fill="auto"/>
            <w:noWrap/>
            <w:hideMark/>
          </w:tcPr>
          <w:p w:rsidR="00BC2C09" w:rsidRPr="00BC2C09" w:rsidRDefault="00BC2C09" w:rsidP="00BC2C09">
            <w:pPr>
              <w:spacing w:after="0" w:line="240" w:lineRule="auto"/>
              <w:rPr>
                <w:rFonts w:ascii="Arial" w:eastAsia="Times New Roman" w:hAnsi="Arial" w:cs="Arial"/>
                <w:color w:val="000000"/>
                <w:sz w:val="18"/>
                <w:szCs w:val="18"/>
                <w:lang w:eastAsia="cs-CZ"/>
              </w:rPr>
            </w:pPr>
            <w:r w:rsidRPr="00BC2C09">
              <w:rPr>
                <w:rFonts w:ascii="Arial" w:eastAsia="Times New Roman" w:hAnsi="Arial" w:cs="Arial"/>
                <w:color w:val="000000"/>
                <w:sz w:val="18"/>
                <w:szCs w:val="18"/>
                <w:lang w:eastAsia="cs-CZ"/>
              </w:rPr>
              <w:t>Počet obecných připomínek:</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112</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128</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140</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117</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113</w:t>
            </w:r>
          </w:p>
        </w:tc>
        <w:tc>
          <w:tcPr>
            <w:tcW w:w="960" w:type="dxa"/>
            <w:tcBorders>
              <w:top w:val="nil"/>
              <w:left w:val="nil"/>
              <w:bottom w:val="single" w:sz="4" w:space="0" w:color="auto"/>
              <w:right w:val="single" w:sz="8"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148</w:t>
            </w:r>
          </w:p>
        </w:tc>
      </w:tr>
      <w:tr w:rsidR="00BC2C09" w:rsidRPr="00BC2C09" w:rsidTr="00BC2C09">
        <w:trPr>
          <w:trHeight w:val="290"/>
        </w:trPr>
        <w:tc>
          <w:tcPr>
            <w:tcW w:w="3060" w:type="dxa"/>
            <w:tcBorders>
              <w:top w:val="nil"/>
              <w:left w:val="single" w:sz="8" w:space="0" w:color="auto"/>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rPr>
                <w:rFonts w:ascii="Arial" w:eastAsia="Times New Roman" w:hAnsi="Arial" w:cs="Arial"/>
                <w:color w:val="000000"/>
                <w:sz w:val="18"/>
                <w:szCs w:val="18"/>
                <w:lang w:eastAsia="cs-CZ"/>
              </w:rPr>
            </w:pPr>
            <w:r w:rsidRPr="00BC2C09">
              <w:rPr>
                <w:rFonts w:ascii="Arial" w:eastAsia="Times New Roman" w:hAnsi="Arial" w:cs="Arial"/>
                <w:color w:val="000000"/>
                <w:sz w:val="18"/>
                <w:szCs w:val="18"/>
                <w:lang w:eastAsia="cs-CZ"/>
              </w:rPr>
              <w:t>Počet připomínek k předmětům</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2127</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2508</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2970</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2132</w:t>
            </w:r>
          </w:p>
        </w:tc>
        <w:tc>
          <w:tcPr>
            <w:tcW w:w="960" w:type="dxa"/>
            <w:tcBorders>
              <w:top w:val="nil"/>
              <w:left w:val="nil"/>
              <w:bottom w:val="single" w:sz="4"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2638</w:t>
            </w:r>
          </w:p>
        </w:tc>
        <w:tc>
          <w:tcPr>
            <w:tcW w:w="960" w:type="dxa"/>
            <w:tcBorders>
              <w:top w:val="nil"/>
              <w:left w:val="nil"/>
              <w:bottom w:val="single" w:sz="4" w:space="0" w:color="auto"/>
              <w:right w:val="single" w:sz="8"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3025</w:t>
            </w:r>
          </w:p>
        </w:tc>
      </w:tr>
      <w:tr w:rsidR="00BC2C09" w:rsidRPr="00BC2C09" w:rsidTr="00BC2C09">
        <w:trPr>
          <w:trHeight w:val="300"/>
        </w:trPr>
        <w:tc>
          <w:tcPr>
            <w:tcW w:w="3060" w:type="dxa"/>
            <w:tcBorders>
              <w:top w:val="nil"/>
              <w:left w:val="single" w:sz="8" w:space="0" w:color="auto"/>
              <w:bottom w:val="single" w:sz="8" w:space="0" w:color="auto"/>
              <w:right w:val="single" w:sz="4" w:space="0" w:color="auto"/>
            </w:tcBorders>
            <w:shd w:val="clear" w:color="auto" w:fill="auto"/>
            <w:noWrap/>
            <w:vAlign w:val="bottom"/>
            <w:hideMark/>
          </w:tcPr>
          <w:p w:rsidR="00BC2C09" w:rsidRPr="00BC2C09" w:rsidRDefault="00BC2C09" w:rsidP="00BC2C09">
            <w:pPr>
              <w:spacing w:after="0" w:line="240" w:lineRule="auto"/>
              <w:rPr>
                <w:rFonts w:ascii="Arial" w:eastAsia="Times New Roman" w:hAnsi="Arial" w:cs="Arial"/>
                <w:color w:val="000000"/>
                <w:sz w:val="18"/>
                <w:szCs w:val="18"/>
                <w:lang w:eastAsia="cs-CZ"/>
              </w:rPr>
            </w:pPr>
            <w:r w:rsidRPr="00BC2C09">
              <w:rPr>
                <w:rFonts w:ascii="Arial" w:eastAsia="Times New Roman" w:hAnsi="Arial" w:cs="Arial"/>
                <w:color w:val="000000"/>
                <w:sz w:val="18"/>
                <w:szCs w:val="18"/>
                <w:lang w:eastAsia="cs-CZ"/>
              </w:rPr>
              <w:t>Počet hodnotících studentů</w:t>
            </w:r>
          </w:p>
        </w:tc>
        <w:tc>
          <w:tcPr>
            <w:tcW w:w="960" w:type="dxa"/>
            <w:tcBorders>
              <w:top w:val="nil"/>
              <w:left w:val="nil"/>
              <w:bottom w:val="single" w:sz="8"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823</w:t>
            </w:r>
          </w:p>
        </w:tc>
        <w:tc>
          <w:tcPr>
            <w:tcW w:w="960" w:type="dxa"/>
            <w:tcBorders>
              <w:top w:val="nil"/>
              <w:left w:val="nil"/>
              <w:bottom w:val="single" w:sz="8"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954</w:t>
            </w:r>
          </w:p>
        </w:tc>
        <w:tc>
          <w:tcPr>
            <w:tcW w:w="960" w:type="dxa"/>
            <w:tcBorders>
              <w:top w:val="nil"/>
              <w:left w:val="nil"/>
              <w:bottom w:val="single" w:sz="8"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1032</w:t>
            </w:r>
          </w:p>
        </w:tc>
        <w:tc>
          <w:tcPr>
            <w:tcW w:w="960" w:type="dxa"/>
            <w:tcBorders>
              <w:top w:val="nil"/>
              <w:left w:val="nil"/>
              <w:bottom w:val="single" w:sz="8"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829</w:t>
            </w:r>
          </w:p>
        </w:tc>
        <w:tc>
          <w:tcPr>
            <w:tcW w:w="960" w:type="dxa"/>
            <w:tcBorders>
              <w:top w:val="nil"/>
              <w:left w:val="nil"/>
              <w:bottom w:val="single" w:sz="8" w:space="0" w:color="auto"/>
              <w:right w:val="single" w:sz="4"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827</w:t>
            </w:r>
          </w:p>
        </w:tc>
        <w:tc>
          <w:tcPr>
            <w:tcW w:w="960" w:type="dxa"/>
            <w:tcBorders>
              <w:top w:val="nil"/>
              <w:left w:val="nil"/>
              <w:bottom w:val="single" w:sz="8" w:space="0" w:color="auto"/>
              <w:right w:val="single" w:sz="8" w:space="0" w:color="auto"/>
            </w:tcBorders>
            <w:shd w:val="clear" w:color="auto" w:fill="auto"/>
            <w:noWrap/>
            <w:vAlign w:val="bottom"/>
            <w:hideMark/>
          </w:tcPr>
          <w:p w:rsidR="00BC2C09" w:rsidRPr="00BC2C09" w:rsidRDefault="00BC2C09" w:rsidP="00BC2C09">
            <w:pPr>
              <w:spacing w:after="0" w:line="240" w:lineRule="auto"/>
              <w:jc w:val="right"/>
              <w:rPr>
                <w:rFonts w:ascii="Calibri" w:eastAsia="Times New Roman" w:hAnsi="Calibri" w:cs="Calibri"/>
                <w:color w:val="000000"/>
                <w:lang w:eastAsia="cs-CZ"/>
              </w:rPr>
            </w:pPr>
            <w:r w:rsidRPr="00BC2C09">
              <w:rPr>
                <w:rFonts w:ascii="Calibri" w:eastAsia="Times New Roman" w:hAnsi="Calibri" w:cs="Calibri"/>
                <w:color w:val="000000"/>
                <w:lang w:eastAsia="cs-CZ"/>
              </w:rPr>
              <w:t>889</w:t>
            </w:r>
          </w:p>
        </w:tc>
      </w:tr>
    </w:tbl>
    <w:p w:rsidR="00BC2C09" w:rsidRDefault="00BC2C09">
      <w:pPr>
        <w:rPr>
          <w:b/>
        </w:rPr>
      </w:pPr>
    </w:p>
    <w:p w:rsidR="00BC2C09" w:rsidRDefault="00BC2C09">
      <w:pPr>
        <w:rPr>
          <w:b/>
        </w:rPr>
      </w:pPr>
      <w:r>
        <w:rPr>
          <w:noProof/>
          <w:lang w:eastAsia="cs-CZ"/>
        </w:rPr>
        <w:drawing>
          <wp:inline distT="0" distB="0" distL="0" distR="0" wp14:anchorId="2173A54A" wp14:editId="3C863101">
            <wp:extent cx="5600700" cy="2654300"/>
            <wp:effectExtent l="0" t="0" r="0" b="1270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5645D" w:rsidRDefault="0085645D">
      <w:pPr>
        <w:rPr>
          <w:b/>
        </w:rPr>
      </w:pPr>
    </w:p>
    <w:p w:rsidR="0085645D" w:rsidRDefault="0085645D">
      <w:pPr>
        <w:rPr>
          <w:b/>
        </w:rPr>
      </w:pPr>
    </w:p>
    <w:p w:rsidR="006A0EDD" w:rsidRPr="0051637C" w:rsidRDefault="00840611">
      <w:pPr>
        <w:rPr>
          <w:b/>
        </w:rPr>
      </w:pPr>
      <w:r w:rsidRPr="0051637C">
        <w:rPr>
          <w:b/>
        </w:rPr>
        <w:t>Statistické hodnocení fakulty:</w:t>
      </w:r>
    </w:p>
    <w:p w:rsidR="00840611" w:rsidRDefault="00840611">
      <w:r>
        <w:t>Výsledky se nevymykají předchozím létům – průměrná známka je 1,</w:t>
      </w:r>
      <w:r w:rsidR="00BC2C09">
        <w:t>5</w:t>
      </w:r>
      <w:r>
        <w:t xml:space="preserve"> </w:t>
      </w:r>
      <w:r w:rsidR="00BC2C09">
        <w:t>podobně jako v předchozích letech</w:t>
      </w:r>
      <w:r>
        <w:t>.</w:t>
      </w:r>
    </w:p>
    <w:p w:rsidR="00877DE2" w:rsidRPr="0051637C" w:rsidRDefault="00877DE2">
      <w:pPr>
        <w:rPr>
          <w:b/>
        </w:rPr>
      </w:pPr>
      <w:r w:rsidRPr="0051637C">
        <w:rPr>
          <w:b/>
        </w:rPr>
        <w:t>Statistické hodnocení ústavů:</w:t>
      </w:r>
    </w:p>
    <w:p w:rsidR="00952F1A" w:rsidRDefault="00877DE2" w:rsidP="00952F1A">
      <w:r>
        <w:t>Známky v jednotlivých oblastech se pohybovaly v rozmezí jedniček a dvojek</w:t>
      </w:r>
      <w:r w:rsidR="00952F1A">
        <w:t>. Na rozdíl od předchozího roku nebyla ani jedna známka horší než 2,88 (s výjimkou několika případů, kde se však vyjádřil jen jediný student)</w:t>
      </w:r>
      <w:r>
        <w:t xml:space="preserve">, </w:t>
      </w:r>
      <w:r w:rsidR="00952F1A">
        <w:t xml:space="preserve">což lze považovat za celkové zlepšení. </w:t>
      </w:r>
    </w:p>
    <w:p w:rsidR="00952F1A" w:rsidRDefault="00952F1A" w:rsidP="00952F1A">
      <w:r>
        <w:t xml:space="preserve">Nejhůře hodnocenými pracovišti (kdy počty hodnotících studentů byly vyšší než 20) byly: Ústav humanitních studií v lékařství, Stomatologická </w:t>
      </w:r>
      <w:proofErr w:type="gramStart"/>
      <w:r>
        <w:t xml:space="preserve">klinika, </w:t>
      </w:r>
      <w:proofErr w:type="spellStart"/>
      <w:r>
        <w:t>I.chirurgická</w:t>
      </w:r>
      <w:proofErr w:type="spellEnd"/>
      <w:proofErr w:type="gramEnd"/>
      <w:r>
        <w:t xml:space="preserve"> klinika a Chirurgická klinika Na Bulovce</w:t>
      </w:r>
    </w:p>
    <w:p w:rsidR="0085645D" w:rsidRDefault="0085645D">
      <w:pPr>
        <w:rPr>
          <w:b/>
        </w:rPr>
      </w:pPr>
      <w:r w:rsidRPr="0085645D">
        <w:rPr>
          <w:b/>
        </w:rPr>
        <w:t>Slovní hodnocení</w:t>
      </w:r>
    </w:p>
    <w:p w:rsidR="0085645D" w:rsidRPr="0085645D" w:rsidRDefault="0085645D" w:rsidP="0085645D">
      <w:pPr>
        <w:spacing w:after="0"/>
        <w:rPr>
          <w:i/>
        </w:rPr>
      </w:pPr>
      <w:proofErr w:type="gramStart"/>
      <w:r w:rsidRPr="0085645D">
        <w:rPr>
          <w:i/>
        </w:rPr>
        <w:t>1.ročník</w:t>
      </w:r>
      <w:proofErr w:type="gramEnd"/>
      <w:r w:rsidRPr="0085645D">
        <w:rPr>
          <w:i/>
        </w:rPr>
        <w:t>:</w:t>
      </w:r>
    </w:p>
    <w:p w:rsidR="0085645D" w:rsidRPr="003A273E" w:rsidRDefault="0085645D" w:rsidP="0085645D">
      <w:pPr>
        <w:rPr>
          <w:rFonts w:cstheme="minorHAnsi"/>
        </w:rPr>
      </w:pPr>
      <w:r w:rsidRPr="003A273E">
        <w:rPr>
          <w:rFonts w:cstheme="minorHAnsi"/>
        </w:rPr>
        <w:t>Pracoviště 1. ročníku byla letos hodnocena vcelku dobře, v rozmezí fakultního průměru</w:t>
      </w:r>
      <w:r w:rsidR="003A273E" w:rsidRPr="003A273E">
        <w:rPr>
          <w:rFonts w:cstheme="minorHAnsi"/>
        </w:rPr>
        <w:t xml:space="preserve">, jen Ústav biofyziky a lék. </w:t>
      </w:r>
      <w:proofErr w:type="gramStart"/>
      <w:r w:rsidR="003A273E" w:rsidRPr="003A273E">
        <w:rPr>
          <w:rFonts w:cstheme="minorHAnsi"/>
        </w:rPr>
        <w:t>informatiky</w:t>
      </w:r>
      <w:proofErr w:type="gramEnd"/>
      <w:r w:rsidR="003A273E" w:rsidRPr="003A273E">
        <w:rPr>
          <w:rFonts w:cstheme="minorHAnsi"/>
        </w:rPr>
        <w:t xml:space="preserve"> byl hodnocen ve  2 otázkách (Pře</w:t>
      </w:r>
      <w:r w:rsidR="003A273E" w:rsidRPr="003A273E">
        <w:rPr>
          <w:rFonts w:eastAsia="Times New Roman" w:cstheme="minorHAnsi"/>
        </w:rPr>
        <w:t>dnášky popř. semináře byly přínosné, doporučil bych je svým kolegům a Praktická cvičení byla přínosem pro zkoušku</w:t>
      </w:r>
      <w:r w:rsidR="003A273E" w:rsidRPr="003A273E">
        <w:rPr>
          <w:rFonts w:cstheme="minorHAnsi"/>
        </w:rPr>
        <w:t xml:space="preserve">) o 25% hůře  </w:t>
      </w:r>
      <w:r w:rsidR="003A273E" w:rsidRPr="003A273E">
        <w:rPr>
          <w:rFonts w:cstheme="minorHAnsi"/>
          <w:color w:val="000000"/>
          <w:shd w:val="clear" w:color="auto" w:fill="F4F5F5"/>
        </w:rPr>
        <w:t>než je fakultní průměr</w:t>
      </w:r>
      <w:r w:rsidR="003A273E" w:rsidRPr="003A273E">
        <w:rPr>
          <w:rFonts w:cstheme="minorHAnsi"/>
        </w:rPr>
        <w:t xml:space="preserve">. </w:t>
      </w:r>
      <w:r w:rsidR="003A273E">
        <w:rPr>
          <w:rFonts w:cstheme="minorHAnsi"/>
        </w:rPr>
        <w:t>S</w:t>
      </w:r>
      <w:r w:rsidR="003A273E" w:rsidRPr="003A273E">
        <w:rPr>
          <w:rFonts w:eastAsia="Times New Roman" w:cstheme="minorHAnsi"/>
          <w:color w:val="000000"/>
          <w:shd w:val="clear" w:color="auto" w:fill="F4F5F5"/>
        </w:rPr>
        <w:t xml:space="preserve">tudenty se </w:t>
      </w:r>
      <w:r w:rsidR="003A273E">
        <w:rPr>
          <w:rFonts w:eastAsia="Times New Roman" w:cstheme="minorHAnsi"/>
          <w:color w:val="000000"/>
          <w:shd w:val="clear" w:color="auto" w:fill="F4F5F5"/>
        </w:rPr>
        <w:t>navíc</w:t>
      </w:r>
      <w:r w:rsidR="003A273E" w:rsidRPr="003A273E">
        <w:rPr>
          <w:rFonts w:eastAsia="Times New Roman" w:cstheme="minorHAnsi"/>
          <w:color w:val="000000"/>
          <w:shd w:val="clear" w:color="auto" w:fill="F4F5F5"/>
        </w:rPr>
        <w:t xml:space="preserve"> nedaří přesvědčit o smysluplnosti a významu předmětu </w:t>
      </w:r>
      <w:r w:rsidR="003A273E" w:rsidRPr="003A273E">
        <w:rPr>
          <w:rFonts w:eastAsia="Times New Roman" w:cstheme="minorHAnsi"/>
          <w:color w:val="000000"/>
          <w:shd w:val="clear" w:color="auto" w:fill="F4F5F5"/>
        </w:rPr>
        <w:lastRenderedPageBreak/>
        <w:t>Informatika v zubním lékařství (4 x negativní hodnocení) a předm</w:t>
      </w:r>
      <w:r w:rsidR="003A273E">
        <w:rPr>
          <w:rFonts w:eastAsia="Times New Roman" w:cstheme="minorHAnsi"/>
          <w:color w:val="000000"/>
          <w:shd w:val="clear" w:color="auto" w:fill="F4F5F5"/>
        </w:rPr>
        <w:t>ě</w:t>
      </w:r>
      <w:r w:rsidR="003A273E" w:rsidRPr="003A273E">
        <w:rPr>
          <w:rFonts w:eastAsia="Times New Roman" w:cstheme="minorHAnsi"/>
          <w:color w:val="000000"/>
          <w:shd w:val="clear" w:color="auto" w:fill="F4F5F5"/>
        </w:rPr>
        <w:t xml:space="preserve">tu Zdravotnická </w:t>
      </w:r>
      <w:proofErr w:type="gramStart"/>
      <w:r w:rsidR="003A273E" w:rsidRPr="003A273E">
        <w:rPr>
          <w:rFonts w:eastAsia="Times New Roman" w:cstheme="minorHAnsi"/>
          <w:color w:val="000000"/>
          <w:shd w:val="clear" w:color="auto" w:fill="F4F5F5"/>
        </w:rPr>
        <w:t>informatika  (6 x negativní</w:t>
      </w:r>
      <w:proofErr w:type="gramEnd"/>
      <w:r w:rsidR="003A273E" w:rsidRPr="003A273E">
        <w:rPr>
          <w:rFonts w:eastAsia="Times New Roman" w:cstheme="minorHAnsi"/>
          <w:color w:val="000000"/>
          <w:shd w:val="clear" w:color="auto" w:fill="F4F5F5"/>
        </w:rPr>
        <w:t xml:space="preserve"> hodnocení).</w:t>
      </w:r>
    </w:p>
    <w:p w:rsidR="0085645D" w:rsidRDefault="0085645D" w:rsidP="000C69A9">
      <w:pPr>
        <w:spacing w:after="0"/>
      </w:pPr>
      <w:proofErr w:type="gramStart"/>
      <w:r w:rsidRPr="0085645D">
        <w:rPr>
          <w:i/>
        </w:rPr>
        <w:t>2.ročník</w:t>
      </w:r>
      <w:proofErr w:type="gramEnd"/>
      <w:r>
        <w:t>:</w:t>
      </w:r>
    </w:p>
    <w:p w:rsidR="00C64448" w:rsidRDefault="000C69A9">
      <w:r>
        <w:rPr>
          <w:rFonts w:cs="Arial"/>
        </w:rPr>
        <w:t>Také p</w:t>
      </w:r>
      <w:r w:rsidR="00C64448" w:rsidRPr="0085645D">
        <w:rPr>
          <w:rFonts w:cs="Arial"/>
        </w:rPr>
        <w:t>racoviš</w:t>
      </w:r>
      <w:r w:rsidR="00C64448">
        <w:rPr>
          <w:rFonts w:cs="Arial"/>
        </w:rPr>
        <w:t>t</w:t>
      </w:r>
      <w:r>
        <w:rPr>
          <w:rFonts w:cs="Arial"/>
        </w:rPr>
        <w:t>ě 2</w:t>
      </w:r>
      <w:r w:rsidR="00C64448" w:rsidRPr="0085645D">
        <w:rPr>
          <w:rFonts w:cs="Arial"/>
        </w:rPr>
        <w:t xml:space="preserve">. ročníku byla letos hodnocena </w:t>
      </w:r>
      <w:r>
        <w:rPr>
          <w:rFonts w:cs="Arial"/>
        </w:rPr>
        <w:t>vesměs</w:t>
      </w:r>
      <w:r w:rsidR="00C64448" w:rsidRPr="0085645D">
        <w:rPr>
          <w:rFonts w:cs="Arial"/>
        </w:rPr>
        <w:t xml:space="preserve"> dobře, </w:t>
      </w:r>
      <w:r>
        <w:rPr>
          <w:rFonts w:cs="Arial"/>
        </w:rPr>
        <w:t xml:space="preserve">víceméně </w:t>
      </w:r>
      <w:r w:rsidR="00C64448" w:rsidRPr="0085645D">
        <w:rPr>
          <w:rFonts w:cs="Arial"/>
        </w:rPr>
        <w:t xml:space="preserve">v rozmezí fakultního průměru, </w:t>
      </w:r>
      <w:r w:rsidR="00F86A6A">
        <w:rPr>
          <w:rFonts w:cs="Arial"/>
        </w:rPr>
        <w:t>tradičně se u všech ústavů střídala kladná i záporná hodnocení jak výuky, tak i učitelů.</w:t>
      </w:r>
      <w:r>
        <w:rPr>
          <w:rFonts w:cs="Arial"/>
        </w:rPr>
        <w:t xml:space="preserve"> </w:t>
      </w:r>
      <w:r w:rsidR="00F86A6A">
        <w:rPr>
          <w:rFonts w:cs="Arial"/>
        </w:rPr>
        <w:t xml:space="preserve">Častější výtky byly </w:t>
      </w:r>
      <w:r>
        <w:rPr>
          <w:rFonts w:cs="Arial"/>
        </w:rPr>
        <w:t xml:space="preserve">na výuku Fyziologie </w:t>
      </w:r>
      <w:r w:rsidR="00F86A6A">
        <w:rPr>
          <w:rFonts w:cs="Arial"/>
        </w:rPr>
        <w:t>a to</w:t>
      </w:r>
      <w:r>
        <w:rPr>
          <w:rFonts w:cs="Arial"/>
        </w:rPr>
        <w:t xml:space="preserve"> jednak na málo přátelskou atmosféru na pracovišti a jednak na nejednoznačnost zápočtových testů</w:t>
      </w:r>
      <w:r w:rsidR="00F86A6A">
        <w:rPr>
          <w:rFonts w:cs="Arial"/>
        </w:rPr>
        <w:t xml:space="preserve"> v zimním semestru</w:t>
      </w:r>
      <w:r>
        <w:rPr>
          <w:rFonts w:cs="Arial"/>
        </w:rPr>
        <w:t>.</w:t>
      </w:r>
    </w:p>
    <w:p w:rsidR="0085645D" w:rsidRDefault="0085645D" w:rsidP="0085645D">
      <w:pPr>
        <w:spacing w:after="0"/>
      </w:pPr>
      <w:proofErr w:type="gramStart"/>
      <w:r w:rsidRPr="0085645D">
        <w:rPr>
          <w:i/>
        </w:rPr>
        <w:t>3.ročník</w:t>
      </w:r>
      <w:proofErr w:type="gramEnd"/>
      <w:r>
        <w:t>:</w:t>
      </w:r>
    </w:p>
    <w:p w:rsidR="0085645D" w:rsidRDefault="0085645D">
      <w:pPr>
        <w:rPr>
          <w:rFonts w:eastAsia="Times New Roman"/>
        </w:rPr>
      </w:pPr>
      <w:r>
        <w:rPr>
          <w:rFonts w:eastAsia="Times New Roman"/>
        </w:rPr>
        <w:t>Třetí ročník je poměrně dobře hodnocený</w:t>
      </w:r>
      <w:r w:rsidR="00F86A6A">
        <w:rPr>
          <w:rFonts w:eastAsia="Times New Roman"/>
        </w:rPr>
        <w:t xml:space="preserve">, nápadné bylo zhoršení hodnocení Chirurgické propedeutiky, která je jednoznačně nejhůře hodnoceným </w:t>
      </w:r>
      <w:proofErr w:type="gramStart"/>
      <w:r w:rsidR="00F86A6A">
        <w:rPr>
          <w:rFonts w:eastAsia="Times New Roman"/>
        </w:rPr>
        <w:t>předmětem 3.ročníku</w:t>
      </w:r>
      <w:proofErr w:type="gramEnd"/>
      <w:r>
        <w:rPr>
          <w:rFonts w:eastAsia="Times New Roman"/>
        </w:rPr>
        <w:t>.</w:t>
      </w:r>
      <w:r w:rsidR="00F86A6A">
        <w:rPr>
          <w:rFonts w:eastAsia="Times New Roman"/>
        </w:rPr>
        <w:t xml:space="preserve"> </w:t>
      </w:r>
      <w:r>
        <w:rPr>
          <w:rFonts w:eastAsia="Times New Roman"/>
        </w:rPr>
        <w:t xml:space="preserve"> Na patologii je stejně jako dříve dle studentů problém s přílišným důrazem na výuku mikroskopie. </w:t>
      </w:r>
      <w:r w:rsidR="00EA4E1E">
        <w:rPr>
          <w:rFonts w:eastAsia="Times New Roman"/>
        </w:rPr>
        <w:t>Na patofyziologii je nejvíce stížností na formu zápočtového testu</w:t>
      </w:r>
      <w:r w:rsidR="000874E7">
        <w:rPr>
          <w:rFonts w:eastAsia="Times New Roman"/>
        </w:rPr>
        <w:t xml:space="preserve"> a na organizaci výuky.</w:t>
      </w:r>
      <w:r w:rsidR="00EA4E1E">
        <w:rPr>
          <w:rFonts w:eastAsia="Times New Roman"/>
        </w:rPr>
        <w:t xml:space="preserve"> </w:t>
      </w:r>
      <w:r w:rsidR="000874E7">
        <w:rPr>
          <w:rFonts w:eastAsia="Times New Roman"/>
        </w:rPr>
        <w:t>Stejně jako vloni by v</w:t>
      </w:r>
      <w:r w:rsidR="00EA4E1E">
        <w:rPr>
          <w:rFonts w:eastAsia="Times New Roman"/>
        </w:rPr>
        <w:t>ětšina hodnotících uvítala pravidelnější výuku mikrobiologie</w:t>
      </w:r>
      <w:r w:rsidR="000874E7">
        <w:rPr>
          <w:rFonts w:eastAsia="Times New Roman"/>
        </w:rPr>
        <w:t xml:space="preserve"> místo bloku</w:t>
      </w:r>
      <w:r w:rsidR="00EA4E1E">
        <w:rPr>
          <w:rFonts w:eastAsia="Times New Roman"/>
        </w:rPr>
        <w:t xml:space="preserve">. Někteří zkoušející prý na mikrobiologii zkouší z neaktuálních zkouškových tripletů. Integrovaný blok patologie a mikrobiologie je hodnocený jako velmi dobrý nápad, ale příliš intenzivní kurz, navíc v době zápočtů, takže ho studenti nezvládají vnímat. Psychologie i Bioetika byly </w:t>
      </w:r>
      <w:r w:rsidR="000874E7">
        <w:rPr>
          <w:rFonts w:eastAsia="Times New Roman"/>
        </w:rPr>
        <w:t xml:space="preserve">tradičně </w:t>
      </w:r>
      <w:r w:rsidR="00EA4E1E">
        <w:rPr>
          <w:rFonts w:eastAsia="Times New Roman"/>
        </w:rPr>
        <w:t>hodnoceny jako nepřínosné.</w:t>
      </w:r>
    </w:p>
    <w:p w:rsidR="00EA4E1E" w:rsidRDefault="00EA4E1E" w:rsidP="00372ED5">
      <w:pPr>
        <w:spacing w:after="0"/>
        <w:rPr>
          <w:rFonts w:eastAsia="Times New Roman"/>
        </w:rPr>
      </w:pPr>
      <w:proofErr w:type="gramStart"/>
      <w:r>
        <w:rPr>
          <w:rFonts w:eastAsia="Times New Roman"/>
          <w:i/>
        </w:rPr>
        <w:t>4.ročník</w:t>
      </w:r>
      <w:proofErr w:type="gramEnd"/>
      <w:r>
        <w:rPr>
          <w:rFonts w:eastAsia="Times New Roman"/>
        </w:rPr>
        <w:t>:</w:t>
      </w:r>
    </w:p>
    <w:p w:rsidR="00372ED5" w:rsidRDefault="000874E7">
      <w:pPr>
        <w:rPr>
          <w:rFonts w:eastAsia="Times New Roman"/>
        </w:rPr>
      </w:pPr>
      <w:r w:rsidRPr="00A964EB">
        <w:t xml:space="preserve">V superlativech byla hodnocena stáž na Očním lékařství, Otorhinolaryngologii a Nukleární medicíně. Spokojenost panovala s Klinickou genetikou, Primární péčí, </w:t>
      </w:r>
      <w:proofErr w:type="spellStart"/>
      <w:r w:rsidRPr="00A964EB">
        <w:t>Dermatovenerologií</w:t>
      </w:r>
      <w:proofErr w:type="spellEnd"/>
      <w:r w:rsidRPr="00A964EB">
        <w:t xml:space="preserve"> a Pracovním lékařstvím, Infekčním lékařstvím i Soudním lékařstvím. U </w:t>
      </w:r>
      <w:r>
        <w:t>R</w:t>
      </w:r>
      <w:r w:rsidRPr="00A964EB">
        <w:t xml:space="preserve">adiologie by studenti byli spokojení, ale by chtěli výuku prodloužit o týden. Na </w:t>
      </w:r>
      <w:r>
        <w:t>S</w:t>
      </w:r>
      <w:r w:rsidRPr="00A964EB">
        <w:t>tomatologii studenti chtějí vidět více praxe, a aby náplň výuky lépe korespondovala se zkouškovými otázkami. Stáž z </w:t>
      </w:r>
      <w:r>
        <w:t>K</w:t>
      </w:r>
      <w:r w:rsidRPr="00A964EB">
        <w:t xml:space="preserve">linické imunologie by studenti rádi delší a rozšířenou o kontakt s pacientem. U </w:t>
      </w:r>
      <w:r>
        <w:t>F</w:t>
      </w:r>
      <w:r w:rsidRPr="00A964EB">
        <w:t xml:space="preserve">armakologii studentům vadila neaktuální literatura a sále organizace předmětu, kdy je její výuka zastíněna nejprve patologii a poté klinickými stážemi a nemají se ji tedy kdy důkladně věnovat. Bioetika přijde studentům zajímavá, ale výuku vedenou panem doc. </w:t>
      </w:r>
      <w:proofErr w:type="spellStart"/>
      <w:r w:rsidRPr="00A964EB">
        <w:t>Paynem</w:t>
      </w:r>
      <w:proofErr w:type="spellEnd"/>
      <w:r w:rsidRPr="00A964EB">
        <w:t xml:space="preserve"> mají studenti za ztrátu času, stížnosti jsou na jeho osobu, vedení výuky a nedochvilnost. Na předstátnicové stáži z </w:t>
      </w:r>
      <w:r>
        <w:t>H</w:t>
      </w:r>
      <w:r w:rsidRPr="00A964EB">
        <w:t>ygieny a epidemiologie byli studenti spokojeni s vyučujícími, ale naopak pochybovali nad užitečností mnohých témat nebo kvalitou dostupných učebnic. Klinickou anatomii by studenti rádi studenti měli samostatně, protože souběh s další stáží jim přijde př</w:t>
      </w:r>
      <w:r>
        <w:t>í</w:t>
      </w:r>
      <w:r w:rsidRPr="00A964EB">
        <w:t>li</w:t>
      </w:r>
      <w:r>
        <w:t>š</w:t>
      </w:r>
      <w:r w:rsidRPr="00A964EB">
        <w:t xml:space="preserve"> náročný. Vadili jim též nekvalitní demonstrátoři. Studenti by rádi aby je učil někdo, kdo opravdu ví co je klinicky nejdůležitější. U lékařské psychologie a psychoterapie studentům vadí malý kontakt s pacientem a obecně jim vyučovaná látka přijde málo použitelná v praxi.</w:t>
      </w:r>
    </w:p>
    <w:p w:rsidR="00EA4E1E" w:rsidRDefault="00EA4E1E" w:rsidP="00EA4E1E">
      <w:pPr>
        <w:spacing w:after="0"/>
        <w:rPr>
          <w:rFonts w:eastAsia="Times New Roman"/>
        </w:rPr>
      </w:pPr>
      <w:proofErr w:type="gramStart"/>
      <w:r w:rsidRPr="00EA4E1E">
        <w:rPr>
          <w:rFonts w:eastAsia="Times New Roman"/>
          <w:i/>
        </w:rPr>
        <w:t>5.ročník</w:t>
      </w:r>
      <w:proofErr w:type="gramEnd"/>
      <w:r>
        <w:rPr>
          <w:rFonts w:eastAsia="Times New Roman"/>
        </w:rPr>
        <w:t>:</w:t>
      </w:r>
    </w:p>
    <w:p w:rsidR="001C185E" w:rsidRDefault="000874E7" w:rsidP="00EA4E1E">
      <w:pPr>
        <w:spacing w:after="0" w:line="240" w:lineRule="auto"/>
      </w:pPr>
      <w:r w:rsidRPr="008747ED">
        <w:t>Většina předmětů 5. ročníku je hodnocena v rámci fakultního průměru. V bloku Interního lékařství všechny předměty dosahují dobrého hodnocení. Zejména Kardiologie, Gastroenterologie, Endokrinologie a Revmatologie mají velmi kladné ohlasy.  Z ostatních předmětů vyučovaných v pátém ročníků se většina pohybuje v </w:t>
      </w:r>
      <w:proofErr w:type="spellStart"/>
      <w:r w:rsidRPr="008747ED">
        <w:t>nadpruměrném</w:t>
      </w:r>
      <w:proofErr w:type="spellEnd"/>
      <w:r w:rsidRPr="008747ED">
        <w:t xml:space="preserve"> hodnocení. Předměty jako Gynekologie, Neurochirurgie, Psychiatrie a Neurologie mají velice dobré číselné hodnocení. Mezi hůře hodnocené předměty patří Rehabilitační lékařství a v rámci výuky </w:t>
      </w:r>
      <w:proofErr w:type="spellStart"/>
      <w:r w:rsidRPr="008747ED">
        <w:t>Psychytarie</w:t>
      </w:r>
      <w:proofErr w:type="spellEnd"/>
      <w:r w:rsidRPr="008747ED">
        <w:t xml:space="preserve"> je hůře hodnocen Sexuologický ústav. Stejně jako minulý rok si studenti občas stěžují na nedostatek pacientů </w:t>
      </w:r>
      <w:proofErr w:type="gramStart"/>
      <w:r w:rsidRPr="008747ED">
        <w:t>během  praktické</w:t>
      </w:r>
      <w:proofErr w:type="gramEnd"/>
      <w:r w:rsidRPr="008747ED">
        <w:t xml:space="preserve"> výuky.</w:t>
      </w:r>
    </w:p>
    <w:p w:rsidR="001C185E" w:rsidRDefault="001C185E" w:rsidP="000874E7">
      <w:pPr>
        <w:spacing w:before="240" w:after="0" w:line="240" w:lineRule="auto"/>
        <w:rPr>
          <w:rFonts w:eastAsia="Times New Roman" w:cs="Times New Roman"/>
          <w:lang w:eastAsia="cs-CZ"/>
        </w:rPr>
      </w:pPr>
      <w:proofErr w:type="gramStart"/>
      <w:r>
        <w:rPr>
          <w:rFonts w:eastAsia="Times New Roman" w:cs="Times New Roman"/>
          <w:i/>
          <w:lang w:eastAsia="cs-CZ"/>
        </w:rPr>
        <w:t>6.ročník</w:t>
      </w:r>
      <w:proofErr w:type="gramEnd"/>
      <w:r>
        <w:rPr>
          <w:rFonts w:eastAsia="Times New Roman" w:cs="Times New Roman"/>
          <w:lang w:eastAsia="cs-CZ"/>
        </w:rPr>
        <w:t>:</w:t>
      </w:r>
    </w:p>
    <w:p w:rsidR="000874E7" w:rsidRPr="008F22E5" w:rsidRDefault="000874E7" w:rsidP="000874E7">
      <w:r w:rsidRPr="008F22E5">
        <w:t xml:space="preserve">Většina předmětů v 6. ročníku byla hodnocena v rámci fakultního průměru. Velmi dobrého hodnocení dosahují klinické stáže ve VFN A ÚVN. Mezi kladně hodnocené předměty v 6. ročníku patří </w:t>
      </w:r>
      <w:proofErr w:type="spellStart"/>
      <w:r w:rsidRPr="008F22E5">
        <w:t>předstátnicová</w:t>
      </w:r>
      <w:proofErr w:type="spellEnd"/>
      <w:r w:rsidRPr="008F22E5">
        <w:t xml:space="preserve"> stáž z </w:t>
      </w:r>
      <w:r>
        <w:t>I</w:t>
      </w:r>
      <w:r w:rsidRPr="008F22E5">
        <w:t xml:space="preserve">nterny. U </w:t>
      </w:r>
      <w:r>
        <w:t>P</w:t>
      </w:r>
      <w:r w:rsidRPr="008F22E5">
        <w:t xml:space="preserve">ediatrie si studenti stěžují na přístup pana profesora Zemana a pana doktora </w:t>
      </w:r>
      <w:proofErr w:type="spellStart"/>
      <w:r w:rsidRPr="008F22E5">
        <w:t>Szitanyiho</w:t>
      </w:r>
      <w:proofErr w:type="spellEnd"/>
      <w:r w:rsidRPr="008F22E5">
        <w:t xml:space="preserve">, naopak studenti obecně oceňují náplň a kvalitu výuky </w:t>
      </w:r>
      <w:r>
        <w:t>P</w:t>
      </w:r>
      <w:r w:rsidRPr="008F22E5">
        <w:t xml:space="preserve">ediatrie. </w:t>
      </w:r>
    </w:p>
    <w:p w:rsidR="001C185E" w:rsidRDefault="001C185E" w:rsidP="00EA4E1E">
      <w:pPr>
        <w:spacing w:after="0" w:line="240" w:lineRule="auto"/>
      </w:pPr>
      <w:r>
        <w:rPr>
          <w:i/>
        </w:rPr>
        <w:lastRenderedPageBreak/>
        <w:t>Zubní lékařství</w:t>
      </w:r>
      <w:r>
        <w:t>:</w:t>
      </w:r>
    </w:p>
    <w:p w:rsidR="000874E7" w:rsidRPr="00696F40" w:rsidRDefault="000874E7" w:rsidP="000874E7">
      <w:pPr>
        <w:rPr>
          <w:rFonts w:cstheme="minorHAnsi"/>
        </w:rPr>
      </w:pPr>
      <w:r w:rsidRPr="00696F40">
        <w:rPr>
          <w:rFonts w:cstheme="minorHAnsi"/>
        </w:rPr>
        <w:t>Ve srovnání s minulými lety podstatně ubylo negativních slovních hodnocení, která se týkala výuky protetiky. Respondenti však nadále kritizují zařazování studentských prezentací, považují je za málo efektivní. Řada komentářů se týká preklinického zubního lékařství – studenti by přivítali větší množství vyučujících během praktických cvičení, zejména v prvních dvou semestrech výuky. Stěžují si, že jeden učitel nestačí jejich práci dostatečně kontrolovat a vést. Ve druhém roce výuky tohoto předmětu se pak opakují výtky na nedostatek materiálu a pomůcek, opakuje se také poptávka po aktuálních učebních textech. V obecné rovině ve srovnání s předchozími lety výrazně ubylo stížností na organizaci výuky. Co se týče dalších předmětů pro studenty stomatologického směru, objevují se výhrady vůči nedostatečnému zaměření některých předmětů na budoucí zubaře (anatomie, fyziologie, farmakologie), u jiných předmětů posluchači naopak stomatologické zacílení chválí (histologie, genetika).</w:t>
      </w:r>
    </w:p>
    <w:p w:rsidR="001C185E" w:rsidRDefault="001C185E" w:rsidP="00EA4E1E">
      <w:pPr>
        <w:spacing w:after="0" w:line="240" w:lineRule="auto"/>
      </w:pPr>
      <w:r>
        <w:rPr>
          <w:i/>
        </w:rPr>
        <w:t>Nelékařské obory</w:t>
      </w:r>
      <w:r>
        <w:t>:</w:t>
      </w:r>
    </w:p>
    <w:p w:rsidR="001C185E" w:rsidRPr="001C185E" w:rsidRDefault="001C185E" w:rsidP="00EA4E1E">
      <w:pPr>
        <w:spacing w:after="0" w:line="240" w:lineRule="auto"/>
      </w:pPr>
      <w:r w:rsidRPr="001C185E">
        <w:rPr>
          <w:rFonts w:cs="Arial"/>
        </w:rPr>
        <w:t xml:space="preserve">U předmětů a učitelů bakalářských oborů je vzhledem k malému počtu hodnocení a hodnotících složité dělat závěry. </w:t>
      </w:r>
    </w:p>
    <w:p w:rsidR="0085645D" w:rsidRDefault="0085645D">
      <w:pPr>
        <w:rPr>
          <w:b/>
        </w:rPr>
      </w:pPr>
    </w:p>
    <w:p w:rsidR="006307E6" w:rsidRPr="0051637C" w:rsidRDefault="006307E6">
      <w:pPr>
        <w:rPr>
          <w:b/>
        </w:rPr>
      </w:pPr>
      <w:r w:rsidRPr="0051637C">
        <w:rPr>
          <w:b/>
        </w:rPr>
        <w:t>Statistické hodnocení učitelů:</w:t>
      </w:r>
    </w:p>
    <w:p w:rsidR="00046E3F" w:rsidRDefault="00046E3F">
      <w:r>
        <w:t>Nejlépe hodnocen</w:t>
      </w:r>
      <w:r w:rsidR="00261103">
        <w:t xml:space="preserve">ých 15 učitelů </w:t>
      </w:r>
      <w:r>
        <w:t>do průměrné známky 1,</w:t>
      </w:r>
      <w:r w:rsidR="00261103">
        <w:t>15</w:t>
      </w:r>
      <w:r>
        <w:t xml:space="preserve"> </w:t>
      </w:r>
      <w:r w:rsidR="00261103">
        <w:t>(</w:t>
      </w:r>
      <w:r>
        <w:t>nejméně 30 hodnocení</w:t>
      </w:r>
      <w:r w:rsidR="00261103">
        <w:t>)</w:t>
      </w:r>
      <w:r>
        <w:t xml:space="preserve">, červeně </w:t>
      </w:r>
      <w:r w:rsidR="00261103">
        <w:t xml:space="preserve">jsou </w:t>
      </w:r>
      <w:r>
        <w:t>označeni ti, kteří byli mezi nejlépe hodnocenými již vloni.</w:t>
      </w:r>
    </w:p>
    <w:tbl>
      <w:tblPr>
        <w:tblW w:w="9204" w:type="dxa"/>
        <w:tblCellMar>
          <w:left w:w="70" w:type="dxa"/>
          <w:right w:w="70" w:type="dxa"/>
        </w:tblCellMar>
        <w:tblLook w:val="04A0" w:firstRow="1" w:lastRow="0" w:firstColumn="1" w:lastColumn="0" w:noHBand="0" w:noVBand="1"/>
      </w:tblPr>
      <w:tblGrid>
        <w:gridCol w:w="5004"/>
        <w:gridCol w:w="2508"/>
        <w:gridCol w:w="741"/>
        <w:gridCol w:w="951"/>
      </w:tblGrid>
      <w:tr w:rsidR="00261103" w:rsidRPr="00261103" w:rsidTr="00261103">
        <w:trPr>
          <w:trHeight w:val="290"/>
        </w:trPr>
        <w:tc>
          <w:tcPr>
            <w:tcW w:w="5004" w:type="dxa"/>
            <w:tcBorders>
              <w:top w:val="single" w:sz="8" w:space="0" w:color="auto"/>
              <w:left w:val="single" w:sz="8" w:space="0" w:color="auto"/>
              <w:bottom w:val="single" w:sz="4" w:space="0" w:color="auto"/>
              <w:right w:val="single" w:sz="4" w:space="0" w:color="auto"/>
            </w:tcBorders>
            <w:shd w:val="clear" w:color="000000" w:fill="F2F2F2"/>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Ústav</w:t>
            </w:r>
          </w:p>
        </w:tc>
        <w:tc>
          <w:tcPr>
            <w:tcW w:w="2508" w:type="dxa"/>
            <w:tcBorders>
              <w:top w:val="single" w:sz="8" w:space="0" w:color="auto"/>
              <w:left w:val="nil"/>
              <w:bottom w:val="single" w:sz="4" w:space="0" w:color="auto"/>
              <w:right w:val="single" w:sz="4" w:space="0" w:color="auto"/>
            </w:tcBorders>
            <w:shd w:val="clear" w:color="000000" w:fill="F2F2F2"/>
            <w:noWrap/>
            <w:vAlign w:val="bottom"/>
            <w:hideMark/>
          </w:tcPr>
          <w:p w:rsidR="00261103" w:rsidRPr="00261103" w:rsidRDefault="00261103" w:rsidP="00261103">
            <w:pPr>
              <w:spacing w:after="0" w:line="240" w:lineRule="auto"/>
              <w:ind w:right="-227"/>
              <w:rPr>
                <w:rFonts w:ascii="Calibri" w:eastAsia="Times New Roman" w:hAnsi="Calibri" w:cs="Calibri"/>
                <w:color w:val="000000"/>
                <w:lang w:eastAsia="cs-CZ"/>
              </w:rPr>
            </w:pPr>
            <w:r w:rsidRPr="00261103">
              <w:rPr>
                <w:rFonts w:ascii="Calibri" w:eastAsia="Times New Roman" w:hAnsi="Calibri" w:cs="Calibri"/>
                <w:color w:val="000000"/>
                <w:lang w:eastAsia="cs-CZ"/>
              </w:rPr>
              <w:t> Příjmení, Jméno</w:t>
            </w:r>
          </w:p>
        </w:tc>
        <w:tc>
          <w:tcPr>
            <w:tcW w:w="741" w:type="dxa"/>
            <w:tcBorders>
              <w:top w:val="single" w:sz="8" w:space="0" w:color="auto"/>
              <w:left w:val="nil"/>
              <w:bottom w:val="single" w:sz="4" w:space="0" w:color="auto"/>
              <w:right w:val="single" w:sz="4" w:space="0" w:color="auto"/>
            </w:tcBorders>
            <w:shd w:val="clear" w:color="000000" w:fill="F2F2F2"/>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Počet</w:t>
            </w:r>
          </w:p>
        </w:tc>
        <w:tc>
          <w:tcPr>
            <w:tcW w:w="951" w:type="dxa"/>
            <w:tcBorders>
              <w:top w:val="single" w:sz="8" w:space="0" w:color="auto"/>
              <w:left w:val="nil"/>
              <w:bottom w:val="single" w:sz="4" w:space="0" w:color="auto"/>
              <w:right w:val="single" w:sz="8" w:space="0" w:color="auto"/>
            </w:tcBorders>
            <w:shd w:val="clear" w:color="000000" w:fill="F2F2F2"/>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Průměr </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Dermatovenerologická klinika 1. LF UK a VFN</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FF0000"/>
                <w:lang w:eastAsia="cs-CZ"/>
              </w:rPr>
            </w:pPr>
            <w:r w:rsidRPr="00261103">
              <w:rPr>
                <w:rFonts w:ascii="Calibri" w:eastAsia="Times New Roman" w:hAnsi="Calibri" w:cs="Calibri"/>
                <w:color w:val="FF0000"/>
                <w:lang w:eastAsia="cs-CZ"/>
              </w:rPr>
              <w:t>Kodet, Ondřej</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53</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1,03</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Neurochirurgická a </w:t>
            </w:r>
            <w:proofErr w:type="spellStart"/>
            <w:r w:rsidRPr="00261103">
              <w:rPr>
                <w:rFonts w:ascii="Calibri" w:eastAsia="Times New Roman" w:hAnsi="Calibri" w:cs="Calibri"/>
                <w:color w:val="000000"/>
                <w:lang w:eastAsia="cs-CZ"/>
              </w:rPr>
              <w:t>neuroonkol</w:t>
            </w:r>
            <w:proofErr w:type="spellEnd"/>
            <w:r w:rsidRPr="00261103">
              <w:rPr>
                <w:rFonts w:ascii="Calibri" w:eastAsia="Times New Roman" w:hAnsi="Calibri" w:cs="Calibri"/>
                <w:color w:val="000000"/>
                <w:lang w:eastAsia="cs-CZ"/>
              </w:rPr>
              <w:t>. klinika 1. LF UK a ÚVN</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Plas, Jaroslav</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49</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1,04</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Anatomický ústav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Beneš, Jiří</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31</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1,05</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tělovýchovného </w:t>
            </w:r>
            <w:proofErr w:type="gramStart"/>
            <w:r w:rsidRPr="00261103">
              <w:rPr>
                <w:rFonts w:ascii="Calibri" w:eastAsia="Times New Roman" w:hAnsi="Calibri" w:cs="Calibri"/>
                <w:color w:val="000000"/>
                <w:lang w:eastAsia="cs-CZ"/>
              </w:rPr>
              <w:t>lékařství 1.LF</w:t>
            </w:r>
            <w:proofErr w:type="gramEnd"/>
            <w:r w:rsidRPr="00261103">
              <w:rPr>
                <w:rFonts w:ascii="Calibri" w:eastAsia="Times New Roman" w:hAnsi="Calibri" w:cs="Calibri"/>
                <w:color w:val="000000"/>
                <w:lang w:eastAsia="cs-CZ"/>
              </w:rPr>
              <w:t xml:space="preserve"> UK a VFN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FF0000"/>
                <w:lang w:eastAsia="cs-CZ"/>
              </w:rPr>
              <w:t>Vilikus, Zdeněk</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44</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1,06</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všeobecného lékařství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Seifert, Bohumil</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35</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1,08</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biochemie a experimentální onkologie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Ševčík, Jan</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31</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1,08</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tělesné výchovy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Trnka, Ondřej</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54</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1,09</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Anatomický ústav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FF0000"/>
                <w:lang w:eastAsia="cs-CZ"/>
              </w:rPr>
              <w:t>Naňka, Ondřej</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94</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1,09</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Fyziologický ústav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FF0000"/>
                <w:lang w:eastAsia="cs-CZ"/>
              </w:rPr>
              <w:t>Kittnar, Otomar</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99</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1,10</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biologie a lékařské </w:t>
            </w:r>
            <w:proofErr w:type="gramStart"/>
            <w:r w:rsidRPr="00261103">
              <w:rPr>
                <w:rFonts w:ascii="Calibri" w:eastAsia="Times New Roman" w:hAnsi="Calibri" w:cs="Calibri"/>
                <w:color w:val="000000"/>
                <w:lang w:eastAsia="cs-CZ"/>
              </w:rPr>
              <w:t>genetiky 1.LF</w:t>
            </w:r>
            <w:proofErr w:type="gramEnd"/>
            <w:r w:rsidRPr="00261103">
              <w:rPr>
                <w:rFonts w:ascii="Calibri" w:eastAsia="Times New Roman" w:hAnsi="Calibri" w:cs="Calibri"/>
                <w:color w:val="000000"/>
                <w:lang w:eastAsia="cs-CZ"/>
              </w:rPr>
              <w:t xml:space="preserve"> UK a VFN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FF0000"/>
                <w:lang w:eastAsia="cs-CZ"/>
              </w:rPr>
              <w:t>Kotlas, Jaroslav</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52</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1,10</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dějin lékařství a cizích jazyků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proofErr w:type="spellStart"/>
            <w:r w:rsidRPr="00261103">
              <w:rPr>
                <w:rFonts w:ascii="Calibri" w:eastAsia="Times New Roman" w:hAnsi="Calibri" w:cs="Calibri"/>
                <w:color w:val="000000"/>
                <w:lang w:eastAsia="cs-CZ"/>
              </w:rPr>
              <w:t>Kendall</w:t>
            </w:r>
            <w:proofErr w:type="spellEnd"/>
            <w:r w:rsidRPr="00261103">
              <w:rPr>
                <w:rFonts w:ascii="Calibri" w:eastAsia="Times New Roman" w:hAnsi="Calibri" w:cs="Calibri"/>
                <w:color w:val="000000"/>
                <w:lang w:eastAsia="cs-CZ"/>
              </w:rPr>
              <w:t>, Harold K Zachary</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42</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1,10</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Ústav biofyziky a informatiky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proofErr w:type="spellStart"/>
            <w:r w:rsidRPr="00261103">
              <w:rPr>
                <w:rFonts w:ascii="Calibri" w:eastAsia="Times New Roman" w:hAnsi="Calibri" w:cs="Calibri"/>
                <w:color w:val="000000"/>
                <w:lang w:eastAsia="cs-CZ"/>
              </w:rPr>
              <w:t>Dibdiak</w:t>
            </w:r>
            <w:proofErr w:type="spellEnd"/>
            <w:r w:rsidRPr="00261103">
              <w:rPr>
                <w:rFonts w:ascii="Calibri" w:eastAsia="Times New Roman" w:hAnsi="Calibri" w:cs="Calibri"/>
                <w:color w:val="000000"/>
                <w:lang w:eastAsia="cs-CZ"/>
              </w:rPr>
              <w:t>, Lukáš</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47</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1,12</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Fyziologický ústav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Nedbalová, Martina</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36</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1,13</w:t>
            </w:r>
          </w:p>
        </w:tc>
      </w:tr>
      <w:tr w:rsidR="00261103" w:rsidRPr="00261103" w:rsidTr="00261103">
        <w:trPr>
          <w:trHeight w:val="290"/>
        </w:trPr>
        <w:tc>
          <w:tcPr>
            <w:tcW w:w="5004" w:type="dxa"/>
            <w:tcBorders>
              <w:top w:val="nil"/>
              <w:left w:val="single" w:sz="8" w:space="0" w:color="auto"/>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Anatomický ústav 1. LF UK </w:t>
            </w:r>
          </w:p>
        </w:tc>
        <w:tc>
          <w:tcPr>
            <w:tcW w:w="2508"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Grim, Miloš</w:t>
            </w:r>
          </w:p>
        </w:tc>
        <w:tc>
          <w:tcPr>
            <w:tcW w:w="741" w:type="dxa"/>
            <w:tcBorders>
              <w:top w:val="nil"/>
              <w:left w:val="nil"/>
              <w:bottom w:val="single" w:sz="4"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67</w:t>
            </w:r>
          </w:p>
        </w:tc>
        <w:tc>
          <w:tcPr>
            <w:tcW w:w="951" w:type="dxa"/>
            <w:tcBorders>
              <w:top w:val="nil"/>
              <w:left w:val="nil"/>
              <w:bottom w:val="single" w:sz="4"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1,13</w:t>
            </w:r>
          </w:p>
        </w:tc>
      </w:tr>
      <w:tr w:rsidR="00261103" w:rsidRPr="00261103" w:rsidTr="00261103">
        <w:trPr>
          <w:trHeight w:val="300"/>
        </w:trPr>
        <w:tc>
          <w:tcPr>
            <w:tcW w:w="5004" w:type="dxa"/>
            <w:tcBorders>
              <w:top w:val="nil"/>
              <w:left w:val="single" w:sz="8" w:space="0" w:color="auto"/>
              <w:bottom w:val="single" w:sz="8"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000000"/>
                <w:lang w:eastAsia="cs-CZ"/>
              </w:rPr>
              <w:t xml:space="preserve">Anatomický ústav 1. LF UK </w:t>
            </w:r>
          </w:p>
        </w:tc>
        <w:tc>
          <w:tcPr>
            <w:tcW w:w="2508" w:type="dxa"/>
            <w:tcBorders>
              <w:top w:val="nil"/>
              <w:left w:val="nil"/>
              <w:bottom w:val="single" w:sz="8" w:space="0" w:color="auto"/>
              <w:right w:val="single" w:sz="4" w:space="0" w:color="auto"/>
            </w:tcBorders>
            <w:shd w:val="clear" w:color="auto" w:fill="auto"/>
            <w:noWrap/>
            <w:vAlign w:val="bottom"/>
            <w:hideMark/>
          </w:tcPr>
          <w:p w:rsidR="00261103" w:rsidRPr="00261103" w:rsidRDefault="00261103" w:rsidP="00261103">
            <w:pPr>
              <w:spacing w:after="0" w:line="240" w:lineRule="auto"/>
              <w:rPr>
                <w:rFonts w:ascii="Calibri" w:eastAsia="Times New Roman" w:hAnsi="Calibri" w:cs="Calibri"/>
                <w:color w:val="000000"/>
                <w:lang w:eastAsia="cs-CZ"/>
              </w:rPr>
            </w:pPr>
            <w:r w:rsidRPr="00261103">
              <w:rPr>
                <w:rFonts w:ascii="Calibri" w:eastAsia="Times New Roman" w:hAnsi="Calibri" w:cs="Calibri"/>
                <w:color w:val="FF0000"/>
                <w:lang w:eastAsia="cs-CZ"/>
              </w:rPr>
              <w:t>Šnajdr, Pavel</w:t>
            </w:r>
          </w:p>
        </w:tc>
        <w:tc>
          <w:tcPr>
            <w:tcW w:w="741" w:type="dxa"/>
            <w:tcBorders>
              <w:top w:val="nil"/>
              <w:left w:val="nil"/>
              <w:bottom w:val="single" w:sz="8" w:space="0" w:color="auto"/>
              <w:right w:val="single" w:sz="4"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36</w:t>
            </w:r>
          </w:p>
        </w:tc>
        <w:tc>
          <w:tcPr>
            <w:tcW w:w="951" w:type="dxa"/>
            <w:tcBorders>
              <w:top w:val="nil"/>
              <w:left w:val="nil"/>
              <w:bottom w:val="single" w:sz="8" w:space="0" w:color="auto"/>
              <w:right w:val="single" w:sz="8" w:space="0" w:color="auto"/>
            </w:tcBorders>
            <w:shd w:val="clear" w:color="auto" w:fill="auto"/>
            <w:noWrap/>
            <w:vAlign w:val="bottom"/>
            <w:hideMark/>
          </w:tcPr>
          <w:p w:rsidR="00261103" w:rsidRPr="00261103" w:rsidRDefault="00261103" w:rsidP="00261103">
            <w:pPr>
              <w:spacing w:after="0" w:line="240" w:lineRule="auto"/>
              <w:jc w:val="right"/>
              <w:rPr>
                <w:rFonts w:ascii="Calibri" w:eastAsia="Times New Roman" w:hAnsi="Calibri" w:cs="Calibri"/>
                <w:color w:val="000000"/>
                <w:lang w:eastAsia="cs-CZ"/>
              </w:rPr>
            </w:pPr>
            <w:r w:rsidRPr="00261103">
              <w:rPr>
                <w:rFonts w:ascii="Calibri" w:eastAsia="Times New Roman" w:hAnsi="Calibri" w:cs="Calibri"/>
                <w:color w:val="000000"/>
                <w:lang w:eastAsia="cs-CZ"/>
              </w:rPr>
              <w:t>1,14</w:t>
            </w:r>
          </w:p>
        </w:tc>
      </w:tr>
    </w:tbl>
    <w:p w:rsidR="00261103" w:rsidRDefault="00261103"/>
    <w:p w:rsidR="00261103" w:rsidRDefault="00261103">
      <w:bookmarkStart w:id="0" w:name="_GoBack"/>
      <w:bookmarkEnd w:id="0"/>
    </w:p>
    <w:sectPr w:rsidR="0026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11"/>
    <w:rsid w:val="00046E3F"/>
    <w:rsid w:val="000874E7"/>
    <w:rsid w:val="000C69A9"/>
    <w:rsid w:val="0017189D"/>
    <w:rsid w:val="001735EC"/>
    <w:rsid w:val="001C185E"/>
    <w:rsid w:val="001E2C9A"/>
    <w:rsid w:val="00261103"/>
    <w:rsid w:val="00372ED5"/>
    <w:rsid w:val="0037641F"/>
    <w:rsid w:val="003A273E"/>
    <w:rsid w:val="003D2CFB"/>
    <w:rsid w:val="00475B61"/>
    <w:rsid w:val="0051637C"/>
    <w:rsid w:val="005239D9"/>
    <w:rsid w:val="00585D60"/>
    <w:rsid w:val="006307E6"/>
    <w:rsid w:val="006A0EDD"/>
    <w:rsid w:val="006E2069"/>
    <w:rsid w:val="00817F1D"/>
    <w:rsid w:val="00840611"/>
    <w:rsid w:val="0085645D"/>
    <w:rsid w:val="00877DE2"/>
    <w:rsid w:val="008A7804"/>
    <w:rsid w:val="008C1FB9"/>
    <w:rsid w:val="00952F1A"/>
    <w:rsid w:val="00A30A4E"/>
    <w:rsid w:val="00A957DF"/>
    <w:rsid w:val="00B62461"/>
    <w:rsid w:val="00BC2C09"/>
    <w:rsid w:val="00C008C0"/>
    <w:rsid w:val="00C64448"/>
    <w:rsid w:val="00E85F64"/>
    <w:rsid w:val="00EA4E1E"/>
    <w:rsid w:val="00F86A6A"/>
    <w:rsid w:val="00FB08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A5A5"/>
  <w15:chartTrackingRefBased/>
  <w15:docId w15:val="{9EF76D15-B248-4A7C-B0A1-C125B553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8806">
      <w:bodyDiv w:val="1"/>
      <w:marLeft w:val="0"/>
      <w:marRight w:val="0"/>
      <w:marTop w:val="0"/>
      <w:marBottom w:val="0"/>
      <w:divBdr>
        <w:top w:val="none" w:sz="0" w:space="0" w:color="auto"/>
        <w:left w:val="none" w:sz="0" w:space="0" w:color="auto"/>
        <w:bottom w:val="none" w:sz="0" w:space="0" w:color="auto"/>
        <w:right w:val="none" w:sz="0" w:space="0" w:color="auto"/>
      </w:divBdr>
    </w:div>
    <w:div w:id="595165007">
      <w:bodyDiv w:val="1"/>
      <w:marLeft w:val="0"/>
      <w:marRight w:val="0"/>
      <w:marTop w:val="0"/>
      <w:marBottom w:val="0"/>
      <w:divBdr>
        <w:top w:val="none" w:sz="0" w:space="0" w:color="auto"/>
        <w:left w:val="none" w:sz="0" w:space="0" w:color="auto"/>
        <w:bottom w:val="none" w:sz="0" w:space="0" w:color="auto"/>
        <w:right w:val="none" w:sz="0" w:space="0" w:color="auto"/>
      </w:divBdr>
    </w:div>
    <w:div w:id="818426983">
      <w:bodyDiv w:val="1"/>
      <w:marLeft w:val="0"/>
      <w:marRight w:val="0"/>
      <w:marTop w:val="0"/>
      <w:marBottom w:val="0"/>
      <w:divBdr>
        <w:top w:val="none" w:sz="0" w:space="0" w:color="auto"/>
        <w:left w:val="none" w:sz="0" w:space="0" w:color="auto"/>
        <w:bottom w:val="none" w:sz="0" w:space="0" w:color="auto"/>
        <w:right w:val="none" w:sz="0" w:space="0" w:color="auto"/>
      </w:divBdr>
    </w:div>
    <w:div w:id="1044334206">
      <w:bodyDiv w:val="1"/>
      <w:marLeft w:val="0"/>
      <w:marRight w:val="0"/>
      <w:marTop w:val="0"/>
      <w:marBottom w:val="0"/>
      <w:divBdr>
        <w:top w:val="none" w:sz="0" w:space="0" w:color="auto"/>
        <w:left w:val="none" w:sz="0" w:space="0" w:color="auto"/>
        <w:bottom w:val="none" w:sz="0" w:space="0" w:color="auto"/>
        <w:right w:val="none" w:sz="0" w:space="0" w:color="auto"/>
      </w:divBdr>
    </w:div>
    <w:div w:id="21196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K\Documents\Fakulta\Hodnocen&#237;%20v&#253;uky\2016_2017\Po&#269;ty%20hodnocen&#2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'[Počty hodnocení.xlsx]List1'!$A$3</c:f>
              <c:strCache>
                <c:ptCount val="1"/>
                <c:pt idx="0">
                  <c:v>Počet připomínek k předmětům</c:v>
                </c:pt>
              </c:strCache>
            </c:strRef>
          </c:tx>
          <c:cat>
            <c:strRef>
              <c:f>'[Počty hodnocení.xlsx]List1'!$B$1:$G$1</c:f>
              <c:strCache>
                <c:ptCount val="6"/>
                <c:pt idx="0">
                  <c:v>2011/12</c:v>
                </c:pt>
                <c:pt idx="1">
                  <c:v>2012/13</c:v>
                </c:pt>
                <c:pt idx="2">
                  <c:v>2013/14</c:v>
                </c:pt>
                <c:pt idx="3">
                  <c:v>2014/15</c:v>
                </c:pt>
                <c:pt idx="4">
                  <c:v>2015/16</c:v>
                </c:pt>
                <c:pt idx="5">
                  <c:v>2016/17</c:v>
                </c:pt>
              </c:strCache>
            </c:strRef>
          </c:cat>
          <c:val>
            <c:numRef>
              <c:f>'[Počty hodnocení.xlsx]List1'!$B$3:$G$3</c:f>
              <c:numCache>
                <c:formatCode>General</c:formatCode>
                <c:ptCount val="6"/>
                <c:pt idx="0">
                  <c:v>2127</c:v>
                </c:pt>
                <c:pt idx="1">
                  <c:v>2508</c:v>
                </c:pt>
                <c:pt idx="2">
                  <c:v>2970</c:v>
                </c:pt>
                <c:pt idx="3">
                  <c:v>2132</c:v>
                </c:pt>
                <c:pt idx="4">
                  <c:v>2638</c:v>
                </c:pt>
                <c:pt idx="5">
                  <c:v>3025</c:v>
                </c:pt>
              </c:numCache>
            </c:numRef>
          </c:val>
          <c:smooth val="0"/>
          <c:extLst>
            <c:ext xmlns:c16="http://schemas.microsoft.com/office/drawing/2014/chart" uri="{C3380CC4-5D6E-409C-BE32-E72D297353CC}">
              <c16:uniqueId val="{00000000-FD72-4B6E-843A-7CAD3931D623}"/>
            </c:ext>
          </c:extLst>
        </c:ser>
        <c:ser>
          <c:idx val="1"/>
          <c:order val="1"/>
          <c:tx>
            <c:strRef>
              <c:f>'[Počty hodnocení.xlsx]List1'!$A$4</c:f>
              <c:strCache>
                <c:ptCount val="1"/>
                <c:pt idx="0">
                  <c:v>Počet hodnotících studentů</c:v>
                </c:pt>
              </c:strCache>
            </c:strRef>
          </c:tx>
          <c:cat>
            <c:strRef>
              <c:f>'[Počty hodnocení.xlsx]List1'!$B$1:$G$1</c:f>
              <c:strCache>
                <c:ptCount val="6"/>
                <c:pt idx="0">
                  <c:v>2011/12</c:v>
                </c:pt>
                <c:pt idx="1">
                  <c:v>2012/13</c:v>
                </c:pt>
                <c:pt idx="2">
                  <c:v>2013/14</c:v>
                </c:pt>
                <c:pt idx="3">
                  <c:v>2014/15</c:v>
                </c:pt>
                <c:pt idx="4">
                  <c:v>2015/16</c:v>
                </c:pt>
                <c:pt idx="5">
                  <c:v>2016/17</c:v>
                </c:pt>
              </c:strCache>
            </c:strRef>
          </c:cat>
          <c:val>
            <c:numRef>
              <c:f>'[Počty hodnocení.xlsx]List1'!$B$4:$G$4</c:f>
              <c:numCache>
                <c:formatCode>General</c:formatCode>
                <c:ptCount val="6"/>
                <c:pt idx="0">
                  <c:v>823</c:v>
                </c:pt>
                <c:pt idx="1">
                  <c:v>954</c:v>
                </c:pt>
                <c:pt idx="2">
                  <c:v>1032</c:v>
                </c:pt>
                <c:pt idx="3">
                  <c:v>829</c:v>
                </c:pt>
                <c:pt idx="4">
                  <c:v>827</c:v>
                </c:pt>
                <c:pt idx="5">
                  <c:v>889</c:v>
                </c:pt>
              </c:numCache>
            </c:numRef>
          </c:val>
          <c:smooth val="0"/>
          <c:extLst>
            <c:ext xmlns:c16="http://schemas.microsoft.com/office/drawing/2014/chart" uri="{C3380CC4-5D6E-409C-BE32-E72D297353CC}">
              <c16:uniqueId val="{00000001-FD72-4B6E-843A-7CAD3931D623}"/>
            </c:ext>
          </c:extLst>
        </c:ser>
        <c:dLbls>
          <c:showLegendKey val="0"/>
          <c:showVal val="0"/>
          <c:showCatName val="0"/>
          <c:showSerName val="0"/>
          <c:showPercent val="0"/>
          <c:showBubbleSize val="0"/>
        </c:dLbls>
        <c:marker val="1"/>
        <c:smooth val="0"/>
        <c:axId val="-255634112"/>
        <c:axId val="-255633568"/>
      </c:lineChart>
      <c:catAx>
        <c:axId val="-255634112"/>
        <c:scaling>
          <c:orientation val="minMax"/>
        </c:scaling>
        <c:delete val="0"/>
        <c:axPos val="b"/>
        <c:numFmt formatCode="General" sourceLinked="0"/>
        <c:majorTickMark val="out"/>
        <c:minorTickMark val="none"/>
        <c:tickLblPos val="nextTo"/>
        <c:crossAx val="-255633568"/>
        <c:crosses val="autoZero"/>
        <c:auto val="1"/>
        <c:lblAlgn val="ctr"/>
        <c:lblOffset val="100"/>
        <c:noMultiLvlLbl val="0"/>
      </c:catAx>
      <c:valAx>
        <c:axId val="-255633568"/>
        <c:scaling>
          <c:orientation val="minMax"/>
        </c:scaling>
        <c:delete val="0"/>
        <c:axPos val="l"/>
        <c:majorGridlines/>
        <c:numFmt formatCode="General" sourceLinked="1"/>
        <c:majorTickMark val="out"/>
        <c:minorTickMark val="none"/>
        <c:tickLblPos val="nextTo"/>
        <c:crossAx val="-255634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DDE0-7355-4492-A45F-A21986C8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1066</Words>
  <Characters>6291</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Petra Klusáková</cp:lastModifiedBy>
  <cp:revision>4</cp:revision>
  <dcterms:created xsi:type="dcterms:W3CDTF">2017-11-20T11:59:00Z</dcterms:created>
  <dcterms:modified xsi:type="dcterms:W3CDTF">2017-12-05T12:27:00Z</dcterms:modified>
</cp:coreProperties>
</file>